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BCDD9" w14:textId="07C5D359" w:rsidR="00A82021" w:rsidRPr="00A82021" w:rsidRDefault="00A82021" w:rsidP="00A82021">
      <w:pPr>
        <w:autoSpaceDE w:val="0"/>
        <w:autoSpaceDN w:val="0"/>
        <w:adjustRightInd w:val="0"/>
        <w:spacing w:after="0"/>
        <w:jc w:val="both"/>
        <w:rPr>
          <w:rFonts w:ascii="Times New Roman" w:eastAsia="Times New Roman" w:hAnsi="Times New Roman" w:cs="Times New Roman"/>
          <w:sz w:val="24"/>
          <w:szCs w:val="24"/>
          <w:lang w:val="hr-HR"/>
        </w:rPr>
      </w:pPr>
      <w:r w:rsidRPr="00A82021">
        <w:rPr>
          <w:rFonts w:ascii="Times New Roman" w:eastAsia="Times New Roman" w:hAnsi="Times New Roman" w:cs="Times New Roman"/>
          <w:noProof/>
          <w:sz w:val="24"/>
          <w:szCs w:val="24"/>
          <w:lang w:val="hr-HR"/>
        </w:rPr>
        <w:drawing>
          <wp:inline distT="0" distB="0" distL="0" distR="0" wp14:anchorId="4B49A006" wp14:editId="3CB42460">
            <wp:extent cx="1560579" cy="1490475"/>
            <wp:effectExtent l="0" t="0" r="1905" b="0"/>
            <wp:docPr id="14811520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5209" name="Slika 14811520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0579" cy="1490475"/>
                    </a:xfrm>
                    <a:prstGeom prst="rect">
                      <a:avLst/>
                    </a:prstGeom>
                  </pic:spPr>
                </pic:pic>
              </a:graphicData>
            </a:graphic>
          </wp:inline>
        </w:drawing>
      </w:r>
    </w:p>
    <w:p w14:paraId="0154B869" w14:textId="57A6C795" w:rsidR="00A82021" w:rsidRPr="00A82021" w:rsidRDefault="00A82021" w:rsidP="00A82021">
      <w:pPr>
        <w:spacing w:after="0"/>
        <w:rPr>
          <w:rFonts w:ascii="Times New Roman" w:hAnsi="Times New Roman" w:cs="Times New Roman"/>
          <w:sz w:val="24"/>
          <w:szCs w:val="24"/>
          <w:lang w:val="it-IT"/>
        </w:rPr>
      </w:pPr>
      <w:r w:rsidRPr="00A82021">
        <w:rPr>
          <w:rFonts w:ascii="Times New Roman" w:hAnsi="Times New Roman" w:cs="Times New Roman"/>
          <w:sz w:val="24"/>
          <w:szCs w:val="24"/>
          <w:lang w:val="it-IT"/>
        </w:rPr>
        <w:t xml:space="preserve">KLASA: </w:t>
      </w:r>
      <w:r w:rsidRPr="006A3D8C">
        <w:rPr>
          <w:rFonts w:ascii="Times New Roman" w:hAnsi="Times New Roman" w:cs="Times New Roman"/>
          <w:sz w:val="24"/>
          <w:szCs w:val="24"/>
          <w:lang w:val="it-IT"/>
        </w:rPr>
        <w:t>120-01/2</w:t>
      </w:r>
      <w:r w:rsidR="006A3D8C" w:rsidRPr="006A3D8C">
        <w:rPr>
          <w:rFonts w:ascii="Times New Roman" w:hAnsi="Times New Roman" w:cs="Times New Roman"/>
          <w:sz w:val="24"/>
          <w:szCs w:val="24"/>
          <w:lang w:val="it-IT"/>
        </w:rPr>
        <w:t>4</w:t>
      </w:r>
      <w:r w:rsidRPr="006A3D8C">
        <w:rPr>
          <w:rFonts w:ascii="Times New Roman" w:hAnsi="Times New Roman" w:cs="Times New Roman"/>
          <w:sz w:val="24"/>
          <w:szCs w:val="24"/>
          <w:lang w:val="it-IT"/>
        </w:rPr>
        <w:t>-01/</w:t>
      </w:r>
      <w:r w:rsidR="006A3D8C">
        <w:rPr>
          <w:rFonts w:ascii="Times New Roman" w:hAnsi="Times New Roman" w:cs="Times New Roman"/>
          <w:sz w:val="24"/>
          <w:szCs w:val="24"/>
          <w:lang w:val="it-IT"/>
        </w:rPr>
        <w:t>1</w:t>
      </w:r>
    </w:p>
    <w:p w14:paraId="2A333CD5" w14:textId="2E094978" w:rsidR="00A82021" w:rsidRPr="00A82021" w:rsidRDefault="00A82021" w:rsidP="00A82021">
      <w:pPr>
        <w:spacing w:after="0"/>
        <w:rPr>
          <w:rFonts w:ascii="Times New Roman" w:hAnsi="Times New Roman" w:cs="Times New Roman"/>
          <w:sz w:val="24"/>
          <w:szCs w:val="24"/>
          <w:lang w:val="it-IT"/>
        </w:rPr>
      </w:pPr>
      <w:r w:rsidRPr="00A82021">
        <w:rPr>
          <w:rFonts w:ascii="Times New Roman" w:hAnsi="Times New Roman" w:cs="Times New Roman"/>
          <w:sz w:val="24"/>
          <w:szCs w:val="24"/>
          <w:lang w:val="it-IT"/>
        </w:rPr>
        <w:t>URBROJ: 2182-</w:t>
      </w:r>
      <w:r>
        <w:rPr>
          <w:rFonts w:ascii="Times New Roman" w:hAnsi="Times New Roman" w:cs="Times New Roman"/>
          <w:sz w:val="24"/>
          <w:szCs w:val="24"/>
          <w:lang w:val="it-IT"/>
        </w:rPr>
        <w:t>9</w:t>
      </w:r>
      <w:r w:rsidRPr="00A82021">
        <w:rPr>
          <w:rFonts w:ascii="Times New Roman" w:hAnsi="Times New Roman" w:cs="Times New Roman"/>
          <w:sz w:val="24"/>
          <w:szCs w:val="24"/>
          <w:lang w:val="it-IT"/>
        </w:rPr>
        <w:t>-2</w:t>
      </w:r>
      <w:r>
        <w:rPr>
          <w:rFonts w:ascii="Times New Roman" w:hAnsi="Times New Roman" w:cs="Times New Roman"/>
          <w:sz w:val="24"/>
          <w:szCs w:val="24"/>
          <w:lang w:val="it-IT"/>
        </w:rPr>
        <w:t>4</w:t>
      </w:r>
      <w:r w:rsidRPr="00A82021">
        <w:rPr>
          <w:rFonts w:ascii="Times New Roman" w:hAnsi="Times New Roman" w:cs="Times New Roman"/>
          <w:sz w:val="24"/>
          <w:szCs w:val="24"/>
          <w:lang w:val="it-IT"/>
        </w:rPr>
        <w:t>-1</w:t>
      </w:r>
    </w:p>
    <w:p w14:paraId="0AB18310" w14:textId="56B31F9C" w:rsidR="00A82021" w:rsidRPr="00A82021" w:rsidRDefault="00A82021" w:rsidP="00A82021">
      <w:pPr>
        <w:spacing w:after="0"/>
        <w:rPr>
          <w:rFonts w:ascii="Times New Roman" w:hAnsi="Times New Roman" w:cs="Times New Roman"/>
          <w:sz w:val="24"/>
          <w:szCs w:val="24"/>
          <w:lang w:val="hr-HR"/>
        </w:rPr>
      </w:pPr>
      <w:r>
        <w:rPr>
          <w:rFonts w:ascii="Times New Roman" w:hAnsi="Times New Roman" w:cs="Times New Roman"/>
          <w:sz w:val="24"/>
          <w:szCs w:val="24"/>
          <w:lang w:val="hr-HR"/>
        </w:rPr>
        <w:t>Oklaj</w:t>
      </w:r>
      <w:r w:rsidRPr="00A82021">
        <w:rPr>
          <w:rFonts w:ascii="Times New Roman" w:hAnsi="Times New Roman" w:cs="Times New Roman"/>
          <w:sz w:val="24"/>
          <w:szCs w:val="24"/>
          <w:lang w:val="hr-HR"/>
        </w:rPr>
        <w:t xml:space="preserve">, </w:t>
      </w:r>
      <w:r w:rsidR="00CF7D66">
        <w:rPr>
          <w:rFonts w:ascii="Times New Roman" w:hAnsi="Times New Roman" w:cs="Times New Roman"/>
          <w:sz w:val="24"/>
          <w:szCs w:val="24"/>
          <w:lang w:val="hr-HR"/>
        </w:rPr>
        <w:t>10</w:t>
      </w:r>
      <w:r w:rsidRPr="00A82021">
        <w:rPr>
          <w:rFonts w:ascii="Times New Roman" w:hAnsi="Times New Roman" w:cs="Times New Roman"/>
          <w:sz w:val="24"/>
          <w:szCs w:val="24"/>
          <w:lang w:val="hr-HR"/>
        </w:rPr>
        <w:t xml:space="preserve">. </w:t>
      </w:r>
      <w:r>
        <w:rPr>
          <w:rFonts w:ascii="Times New Roman" w:hAnsi="Times New Roman" w:cs="Times New Roman"/>
          <w:sz w:val="24"/>
          <w:szCs w:val="24"/>
          <w:lang w:val="hr-HR"/>
        </w:rPr>
        <w:t>lipnj</w:t>
      </w:r>
      <w:r w:rsidRPr="00A82021">
        <w:rPr>
          <w:rFonts w:ascii="Times New Roman" w:hAnsi="Times New Roman" w:cs="Times New Roman"/>
          <w:sz w:val="24"/>
          <w:szCs w:val="24"/>
          <w:lang w:val="hr-HR"/>
        </w:rPr>
        <w:t>a 202</w:t>
      </w:r>
      <w:r>
        <w:rPr>
          <w:rFonts w:ascii="Times New Roman" w:hAnsi="Times New Roman" w:cs="Times New Roman"/>
          <w:sz w:val="24"/>
          <w:szCs w:val="24"/>
          <w:lang w:val="hr-HR"/>
        </w:rPr>
        <w:t>4</w:t>
      </w:r>
      <w:r w:rsidRPr="00A82021">
        <w:rPr>
          <w:rFonts w:ascii="Times New Roman" w:hAnsi="Times New Roman" w:cs="Times New Roman"/>
          <w:sz w:val="24"/>
          <w:szCs w:val="24"/>
          <w:lang w:val="hr-HR"/>
        </w:rPr>
        <w:t>. godine</w:t>
      </w:r>
    </w:p>
    <w:p w14:paraId="27684FE0" w14:textId="77777777" w:rsidR="00A82021" w:rsidRPr="00A82021" w:rsidRDefault="00A82021" w:rsidP="00EE7D94">
      <w:pPr>
        <w:autoSpaceDE w:val="0"/>
        <w:autoSpaceDN w:val="0"/>
        <w:adjustRightInd w:val="0"/>
        <w:spacing w:after="0"/>
        <w:jc w:val="both"/>
        <w:rPr>
          <w:rFonts w:ascii="Times New Roman" w:eastAsia="Times New Roman" w:hAnsi="Times New Roman" w:cs="Times New Roman"/>
          <w:sz w:val="24"/>
          <w:szCs w:val="24"/>
          <w:lang w:val="hr-HR"/>
        </w:rPr>
      </w:pPr>
    </w:p>
    <w:p w14:paraId="38E6CCFF" w14:textId="36775842" w:rsidR="001C5BEC" w:rsidRPr="00A82021" w:rsidRDefault="00BB68AF" w:rsidP="00A82021">
      <w:pPr>
        <w:autoSpaceDE w:val="0"/>
        <w:autoSpaceDN w:val="0"/>
        <w:adjustRightInd w:val="0"/>
        <w:spacing w:after="0"/>
        <w:ind w:firstLine="720"/>
        <w:jc w:val="both"/>
        <w:rPr>
          <w:rFonts w:ascii="Times New Roman" w:hAnsi="Times New Roman" w:cs="Times New Roman"/>
          <w:sz w:val="24"/>
          <w:szCs w:val="24"/>
          <w:lang w:val="hr-HR"/>
        </w:rPr>
      </w:pPr>
      <w:r w:rsidRPr="00A82021">
        <w:rPr>
          <w:rFonts w:ascii="Times New Roman" w:eastAsia="Times New Roman" w:hAnsi="Times New Roman" w:cs="Times New Roman"/>
          <w:sz w:val="24"/>
          <w:szCs w:val="24"/>
          <w:lang w:val="hr-HR"/>
        </w:rPr>
        <w:t xml:space="preserve">Na temelju članka </w:t>
      </w:r>
      <w:r w:rsidR="00024364" w:rsidRPr="00A82021">
        <w:rPr>
          <w:rFonts w:ascii="Times New Roman" w:eastAsia="Times New Roman" w:hAnsi="Times New Roman" w:cs="Times New Roman"/>
          <w:sz w:val="24"/>
          <w:szCs w:val="24"/>
          <w:lang w:val="hr-HR"/>
        </w:rPr>
        <w:t>10</w:t>
      </w:r>
      <w:r w:rsidRPr="00A82021">
        <w:rPr>
          <w:rFonts w:ascii="Times New Roman" w:eastAsia="Times New Roman" w:hAnsi="Times New Roman" w:cs="Times New Roman"/>
          <w:sz w:val="24"/>
          <w:szCs w:val="24"/>
          <w:lang w:val="hr-HR"/>
        </w:rPr>
        <w:t>. stav</w:t>
      </w:r>
      <w:r w:rsidR="00024364" w:rsidRPr="00A82021">
        <w:rPr>
          <w:rFonts w:ascii="Times New Roman" w:eastAsia="Times New Roman" w:hAnsi="Times New Roman" w:cs="Times New Roman"/>
          <w:sz w:val="24"/>
          <w:szCs w:val="24"/>
          <w:lang w:val="hr-HR"/>
        </w:rPr>
        <w:t>a</w:t>
      </w:r>
      <w:r w:rsidRPr="00A82021">
        <w:rPr>
          <w:rFonts w:ascii="Times New Roman" w:eastAsia="Times New Roman" w:hAnsi="Times New Roman" w:cs="Times New Roman"/>
          <w:sz w:val="24"/>
          <w:szCs w:val="24"/>
          <w:lang w:val="hr-HR"/>
        </w:rPr>
        <w:t>k</w:t>
      </w:r>
      <w:r w:rsidR="00024364" w:rsidRPr="00A82021">
        <w:rPr>
          <w:rFonts w:ascii="Times New Roman" w:eastAsia="Times New Roman" w:hAnsi="Times New Roman" w:cs="Times New Roman"/>
          <w:sz w:val="24"/>
          <w:szCs w:val="24"/>
          <w:lang w:val="hr-HR"/>
        </w:rPr>
        <w:t xml:space="preserve"> 1</w:t>
      </w:r>
      <w:r w:rsidRPr="00A82021">
        <w:rPr>
          <w:rFonts w:ascii="Times New Roman" w:eastAsia="Times New Roman" w:hAnsi="Times New Roman" w:cs="Times New Roman"/>
          <w:sz w:val="24"/>
          <w:szCs w:val="24"/>
          <w:lang w:val="hr-HR"/>
        </w:rPr>
        <w:t>.</w:t>
      </w:r>
      <w:r w:rsidR="00FE5965" w:rsidRPr="00A82021">
        <w:rPr>
          <w:rFonts w:ascii="Times New Roman" w:eastAsia="Times New Roman" w:hAnsi="Times New Roman" w:cs="Times New Roman"/>
          <w:sz w:val="24"/>
          <w:szCs w:val="24"/>
          <w:lang w:val="hr-HR"/>
        </w:rPr>
        <w:t xml:space="preserve"> </w:t>
      </w:r>
      <w:r w:rsidRPr="00A82021">
        <w:rPr>
          <w:rFonts w:ascii="Times New Roman" w:eastAsia="Times New Roman" w:hAnsi="Times New Roman" w:cs="Times New Roman"/>
          <w:sz w:val="24"/>
          <w:szCs w:val="24"/>
          <w:lang w:val="hr-HR"/>
        </w:rPr>
        <w:t xml:space="preserve">Zakona o </w:t>
      </w:r>
      <w:r w:rsidR="00024364" w:rsidRPr="00A82021">
        <w:rPr>
          <w:rFonts w:ascii="Times New Roman" w:eastAsia="Times New Roman" w:hAnsi="Times New Roman" w:cs="Times New Roman"/>
          <w:sz w:val="24"/>
          <w:szCs w:val="24"/>
          <w:lang w:val="hr-HR"/>
        </w:rPr>
        <w:t xml:space="preserve">plaćama u </w:t>
      </w:r>
      <w:r w:rsidRPr="00A82021">
        <w:rPr>
          <w:rFonts w:ascii="Times New Roman" w:eastAsia="Times New Roman" w:hAnsi="Times New Roman" w:cs="Times New Roman"/>
          <w:sz w:val="24"/>
          <w:szCs w:val="24"/>
          <w:lang w:val="hr-HR"/>
        </w:rPr>
        <w:t>lokalnoj i područnoj (regionalnoj) samoupravi (</w:t>
      </w:r>
      <w:r w:rsidR="00C15D49">
        <w:rPr>
          <w:rFonts w:ascii="Times New Roman" w:eastAsia="Times New Roman" w:hAnsi="Times New Roman" w:cs="Times New Roman"/>
          <w:sz w:val="24"/>
          <w:szCs w:val="24"/>
          <w:lang w:val="hr-HR"/>
        </w:rPr>
        <w:t xml:space="preserve">NN </w:t>
      </w:r>
      <w:r w:rsidR="00024364" w:rsidRPr="00A82021">
        <w:rPr>
          <w:rFonts w:ascii="Times New Roman" w:eastAsia="Times New Roman" w:hAnsi="Times New Roman" w:cs="Times New Roman"/>
          <w:sz w:val="24"/>
          <w:szCs w:val="24"/>
          <w:lang w:val="hr-HR"/>
        </w:rPr>
        <w:t>28/10</w:t>
      </w:r>
      <w:r w:rsidR="00CD4C1F" w:rsidRPr="00A82021">
        <w:rPr>
          <w:rFonts w:ascii="Times New Roman" w:eastAsia="Times New Roman" w:hAnsi="Times New Roman" w:cs="Times New Roman"/>
          <w:sz w:val="24"/>
          <w:szCs w:val="24"/>
          <w:lang w:val="hr-HR"/>
        </w:rPr>
        <w:t xml:space="preserve"> i 10/23</w:t>
      </w:r>
      <w:r w:rsidR="00024364" w:rsidRPr="00A82021">
        <w:rPr>
          <w:rFonts w:ascii="Times New Roman" w:eastAsia="Times New Roman" w:hAnsi="Times New Roman" w:cs="Times New Roman"/>
          <w:sz w:val="24"/>
          <w:szCs w:val="24"/>
          <w:lang w:val="hr-HR"/>
        </w:rPr>
        <w:t xml:space="preserve">) i </w:t>
      </w:r>
      <w:r w:rsidR="00734D52" w:rsidRPr="00A82021">
        <w:rPr>
          <w:rFonts w:ascii="Times New Roman" w:hAnsi="Times New Roman" w:cs="Times New Roman"/>
          <w:sz w:val="24"/>
          <w:szCs w:val="24"/>
          <w:lang w:val="hr-HR"/>
        </w:rPr>
        <w:t>članka 2</w:t>
      </w:r>
      <w:r w:rsidR="00D05912">
        <w:rPr>
          <w:rFonts w:ascii="Times New Roman" w:hAnsi="Times New Roman" w:cs="Times New Roman"/>
          <w:sz w:val="24"/>
          <w:szCs w:val="24"/>
          <w:lang w:val="hr-HR"/>
        </w:rPr>
        <w:t>5</w:t>
      </w:r>
      <w:r w:rsidR="00734D52" w:rsidRPr="00A82021">
        <w:rPr>
          <w:rFonts w:ascii="Times New Roman" w:hAnsi="Times New Roman" w:cs="Times New Roman"/>
          <w:sz w:val="24"/>
          <w:szCs w:val="24"/>
          <w:lang w:val="hr-HR"/>
        </w:rPr>
        <w:t xml:space="preserve">. Statuta Općine </w:t>
      </w:r>
      <w:r w:rsidR="00D05912">
        <w:rPr>
          <w:rFonts w:ascii="Times New Roman" w:hAnsi="Times New Roman" w:cs="Times New Roman"/>
          <w:sz w:val="24"/>
          <w:szCs w:val="24"/>
          <w:lang w:val="hr-HR"/>
        </w:rPr>
        <w:t>Promina (</w:t>
      </w:r>
      <w:r w:rsidR="00734D52" w:rsidRPr="00A82021">
        <w:rPr>
          <w:rFonts w:ascii="Times New Roman" w:hAnsi="Times New Roman" w:cs="Times New Roman"/>
          <w:sz w:val="24"/>
          <w:szCs w:val="24"/>
          <w:lang w:val="hr-HR"/>
        </w:rPr>
        <w:t>Služben</w:t>
      </w:r>
      <w:r w:rsidR="00D05912">
        <w:rPr>
          <w:rFonts w:ascii="Times New Roman" w:hAnsi="Times New Roman" w:cs="Times New Roman"/>
          <w:sz w:val="24"/>
          <w:szCs w:val="24"/>
          <w:lang w:val="hr-HR"/>
        </w:rPr>
        <w:t xml:space="preserve">o glasilo Općine Promina 1/21 i 4/21) </w:t>
      </w:r>
      <w:r w:rsidR="00FE5965" w:rsidRPr="00A82021">
        <w:rPr>
          <w:rFonts w:ascii="Times New Roman" w:hAnsi="Times New Roman" w:cs="Times New Roman"/>
          <w:sz w:val="24"/>
          <w:szCs w:val="24"/>
          <w:lang w:val="hr-HR"/>
        </w:rPr>
        <w:t>Op</w:t>
      </w:r>
      <w:r w:rsidR="00FE5965" w:rsidRPr="00A82021">
        <w:rPr>
          <w:rFonts w:ascii="Times New Roman" w:eastAsia="TT2E6o00" w:hAnsi="Times New Roman" w:cs="Times New Roman"/>
          <w:sz w:val="24"/>
          <w:szCs w:val="24"/>
          <w:lang w:val="hr-HR"/>
        </w:rPr>
        <w:t>ć</w:t>
      </w:r>
      <w:r w:rsidR="00FE5965" w:rsidRPr="00A82021">
        <w:rPr>
          <w:rFonts w:ascii="Times New Roman" w:hAnsi="Times New Roman" w:cs="Times New Roman"/>
          <w:sz w:val="24"/>
          <w:szCs w:val="24"/>
          <w:lang w:val="hr-HR"/>
        </w:rPr>
        <w:t>insko vije</w:t>
      </w:r>
      <w:r w:rsidR="00FE5965" w:rsidRPr="00A82021">
        <w:rPr>
          <w:rFonts w:ascii="Times New Roman" w:eastAsia="TT2E6o00" w:hAnsi="Times New Roman" w:cs="Times New Roman"/>
          <w:sz w:val="24"/>
          <w:szCs w:val="24"/>
          <w:lang w:val="hr-HR"/>
        </w:rPr>
        <w:t>ć</w:t>
      </w:r>
      <w:r w:rsidR="00FE5965" w:rsidRPr="00A82021">
        <w:rPr>
          <w:rFonts w:ascii="Times New Roman" w:hAnsi="Times New Roman" w:cs="Times New Roman"/>
          <w:sz w:val="24"/>
          <w:szCs w:val="24"/>
          <w:lang w:val="hr-HR"/>
        </w:rPr>
        <w:t xml:space="preserve">e Općine na </w:t>
      </w:r>
      <w:r w:rsidR="00CF7D66">
        <w:rPr>
          <w:rFonts w:ascii="Times New Roman" w:hAnsi="Times New Roman" w:cs="Times New Roman"/>
          <w:sz w:val="24"/>
          <w:szCs w:val="24"/>
          <w:lang w:val="hr-HR"/>
        </w:rPr>
        <w:t>19</w:t>
      </w:r>
      <w:r w:rsidR="00D85854" w:rsidRPr="00A82021">
        <w:rPr>
          <w:rFonts w:ascii="Times New Roman" w:hAnsi="Times New Roman" w:cs="Times New Roman"/>
          <w:sz w:val="24"/>
          <w:szCs w:val="24"/>
          <w:lang w:val="hr-HR"/>
        </w:rPr>
        <w:t xml:space="preserve">. </w:t>
      </w:r>
      <w:r w:rsidR="00FE5965" w:rsidRPr="00A82021">
        <w:rPr>
          <w:rFonts w:ascii="Times New Roman" w:hAnsi="Times New Roman" w:cs="Times New Roman"/>
          <w:sz w:val="24"/>
          <w:szCs w:val="24"/>
          <w:lang w:val="hr-HR"/>
        </w:rPr>
        <w:t xml:space="preserve">sjednici održanoj </w:t>
      </w:r>
      <w:r w:rsidR="00CF7D66">
        <w:rPr>
          <w:rFonts w:ascii="Times New Roman" w:hAnsi="Times New Roman" w:cs="Times New Roman"/>
          <w:sz w:val="24"/>
          <w:szCs w:val="24"/>
          <w:lang w:val="hr-HR"/>
        </w:rPr>
        <w:t>10</w:t>
      </w:r>
      <w:r w:rsidR="00633CA5" w:rsidRPr="00A82021">
        <w:rPr>
          <w:rFonts w:ascii="Times New Roman" w:hAnsi="Times New Roman" w:cs="Times New Roman"/>
          <w:sz w:val="24"/>
          <w:szCs w:val="24"/>
          <w:lang w:val="hr-HR"/>
        </w:rPr>
        <w:t xml:space="preserve">. </w:t>
      </w:r>
      <w:r w:rsidR="00CD4C1F" w:rsidRPr="00A82021">
        <w:rPr>
          <w:rFonts w:ascii="Times New Roman" w:hAnsi="Times New Roman" w:cs="Times New Roman"/>
          <w:sz w:val="24"/>
          <w:szCs w:val="24"/>
          <w:lang w:val="hr-HR"/>
        </w:rPr>
        <w:t>l</w:t>
      </w:r>
      <w:r w:rsidR="00A82021">
        <w:rPr>
          <w:rFonts w:ascii="Times New Roman" w:hAnsi="Times New Roman" w:cs="Times New Roman"/>
          <w:sz w:val="24"/>
          <w:szCs w:val="24"/>
          <w:lang w:val="hr-HR"/>
        </w:rPr>
        <w:t>ipnja</w:t>
      </w:r>
      <w:r w:rsidR="00FE5965" w:rsidRPr="00A82021">
        <w:rPr>
          <w:rFonts w:ascii="Times New Roman" w:hAnsi="Times New Roman" w:cs="Times New Roman"/>
          <w:sz w:val="24"/>
          <w:szCs w:val="24"/>
          <w:lang w:val="hr-HR"/>
        </w:rPr>
        <w:t xml:space="preserve"> </w:t>
      </w:r>
      <w:r w:rsidR="001C5BEC" w:rsidRPr="00A82021">
        <w:rPr>
          <w:rFonts w:ascii="Times New Roman" w:hAnsi="Times New Roman" w:cs="Times New Roman"/>
          <w:sz w:val="24"/>
          <w:szCs w:val="24"/>
          <w:lang w:val="hr-HR"/>
        </w:rPr>
        <w:t>202</w:t>
      </w:r>
      <w:r w:rsidR="00A82021">
        <w:rPr>
          <w:rFonts w:ascii="Times New Roman" w:hAnsi="Times New Roman" w:cs="Times New Roman"/>
          <w:sz w:val="24"/>
          <w:szCs w:val="24"/>
          <w:lang w:val="hr-HR"/>
        </w:rPr>
        <w:t>4</w:t>
      </w:r>
      <w:r w:rsidR="00FE5965" w:rsidRPr="00A82021">
        <w:rPr>
          <w:rFonts w:ascii="Times New Roman" w:hAnsi="Times New Roman" w:cs="Times New Roman"/>
          <w:sz w:val="24"/>
          <w:szCs w:val="24"/>
          <w:lang w:val="hr-HR"/>
        </w:rPr>
        <w:t xml:space="preserve">. godine, </w:t>
      </w:r>
      <w:r w:rsidR="00024364" w:rsidRPr="00A82021">
        <w:rPr>
          <w:rFonts w:ascii="Times New Roman" w:hAnsi="Times New Roman" w:cs="Times New Roman"/>
          <w:sz w:val="24"/>
          <w:szCs w:val="24"/>
          <w:lang w:val="hr-HR"/>
        </w:rPr>
        <w:t>donosi</w:t>
      </w:r>
    </w:p>
    <w:p w14:paraId="02897840" w14:textId="77777777" w:rsidR="00A82021" w:rsidRDefault="00A82021" w:rsidP="00A82021">
      <w:pPr>
        <w:autoSpaceDE w:val="0"/>
        <w:autoSpaceDN w:val="0"/>
        <w:adjustRightInd w:val="0"/>
        <w:spacing w:after="0"/>
        <w:jc w:val="center"/>
        <w:rPr>
          <w:rFonts w:ascii="Times New Roman" w:hAnsi="Times New Roman" w:cs="Times New Roman"/>
          <w:b/>
          <w:sz w:val="24"/>
          <w:szCs w:val="24"/>
          <w:lang w:val="hr-HR"/>
        </w:rPr>
      </w:pPr>
    </w:p>
    <w:p w14:paraId="09531DB8" w14:textId="18EACB64" w:rsidR="001C5BEC" w:rsidRPr="00A82021" w:rsidRDefault="001C5BEC" w:rsidP="00A82021">
      <w:pPr>
        <w:autoSpaceDE w:val="0"/>
        <w:autoSpaceDN w:val="0"/>
        <w:adjustRightInd w:val="0"/>
        <w:spacing w:after="0"/>
        <w:jc w:val="center"/>
        <w:rPr>
          <w:rFonts w:ascii="Times New Roman" w:hAnsi="Times New Roman" w:cs="Times New Roman"/>
          <w:b/>
          <w:sz w:val="24"/>
          <w:szCs w:val="24"/>
          <w:lang w:val="hr-HR"/>
        </w:rPr>
      </w:pPr>
      <w:r w:rsidRPr="00A82021">
        <w:rPr>
          <w:rFonts w:ascii="Times New Roman" w:hAnsi="Times New Roman" w:cs="Times New Roman"/>
          <w:b/>
          <w:sz w:val="24"/>
          <w:szCs w:val="24"/>
          <w:lang w:val="hr-HR"/>
        </w:rPr>
        <w:t>ODLUKU</w:t>
      </w:r>
    </w:p>
    <w:p w14:paraId="54A7CF78" w14:textId="2076D78E" w:rsidR="00024364" w:rsidRPr="00A82021" w:rsidRDefault="0055142C" w:rsidP="00A82021">
      <w:pPr>
        <w:autoSpaceDE w:val="0"/>
        <w:autoSpaceDN w:val="0"/>
        <w:adjustRightInd w:val="0"/>
        <w:spacing w:after="0"/>
        <w:jc w:val="center"/>
        <w:rPr>
          <w:rFonts w:ascii="Times New Roman" w:hAnsi="Times New Roman" w:cs="Times New Roman"/>
          <w:b/>
          <w:sz w:val="24"/>
          <w:szCs w:val="24"/>
          <w:lang w:val="hr-HR"/>
        </w:rPr>
      </w:pPr>
      <w:r>
        <w:rPr>
          <w:rFonts w:ascii="Times New Roman" w:hAnsi="Times New Roman" w:cs="Times New Roman"/>
          <w:b/>
          <w:sz w:val="24"/>
          <w:szCs w:val="24"/>
          <w:lang w:val="hr-HR"/>
        </w:rPr>
        <w:t xml:space="preserve">o izmjeni i dopuni Odluke </w:t>
      </w:r>
      <w:r w:rsidR="00024364" w:rsidRPr="00A82021">
        <w:rPr>
          <w:rFonts w:ascii="Times New Roman" w:hAnsi="Times New Roman" w:cs="Times New Roman"/>
          <w:b/>
          <w:sz w:val="24"/>
          <w:szCs w:val="24"/>
          <w:lang w:val="hr-HR"/>
        </w:rPr>
        <w:t>o koeficijentima za obračun plać</w:t>
      </w:r>
      <w:r w:rsidR="009E20C0" w:rsidRPr="00A82021">
        <w:rPr>
          <w:rFonts w:ascii="Times New Roman" w:hAnsi="Times New Roman" w:cs="Times New Roman"/>
          <w:b/>
          <w:sz w:val="24"/>
          <w:szCs w:val="24"/>
          <w:lang w:val="hr-HR"/>
        </w:rPr>
        <w:t>a</w:t>
      </w:r>
      <w:r w:rsidR="00024364" w:rsidRPr="00A82021">
        <w:rPr>
          <w:rFonts w:ascii="Times New Roman" w:hAnsi="Times New Roman" w:cs="Times New Roman"/>
          <w:b/>
          <w:sz w:val="24"/>
          <w:szCs w:val="24"/>
          <w:lang w:val="hr-HR"/>
        </w:rPr>
        <w:t xml:space="preserve"> službenika i namještenika </w:t>
      </w:r>
    </w:p>
    <w:p w14:paraId="44CF0E34" w14:textId="4731E5CF" w:rsidR="00E93A88" w:rsidRPr="00A82021" w:rsidRDefault="00024364" w:rsidP="00A82021">
      <w:pPr>
        <w:autoSpaceDE w:val="0"/>
        <w:autoSpaceDN w:val="0"/>
        <w:adjustRightInd w:val="0"/>
        <w:spacing w:after="0"/>
        <w:jc w:val="center"/>
        <w:rPr>
          <w:rFonts w:ascii="Times New Roman" w:hAnsi="Times New Roman" w:cs="Times New Roman"/>
          <w:b/>
          <w:sz w:val="24"/>
          <w:szCs w:val="24"/>
          <w:lang w:val="hr-HR"/>
        </w:rPr>
      </w:pPr>
      <w:r w:rsidRPr="00A82021">
        <w:rPr>
          <w:rFonts w:ascii="Times New Roman" w:hAnsi="Times New Roman" w:cs="Times New Roman"/>
          <w:b/>
          <w:sz w:val="24"/>
          <w:szCs w:val="24"/>
          <w:lang w:val="hr-HR"/>
        </w:rPr>
        <w:t xml:space="preserve">Jedinstvenog upravnog odjela </w:t>
      </w:r>
      <w:r w:rsidR="006D13F7" w:rsidRPr="00A82021">
        <w:rPr>
          <w:rFonts w:ascii="Times New Roman" w:hAnsi="Times New Roman" w:cs="Times New Roman"/>
          <w:b/>
          <w:sz w:val="24"/>
          <w:szCs w:val="24"/>
          <w:lang w:val="hr-HR"/>
        </w:rPr>
        <w:t xml:space="preserve">Općine </w:t>
      </w:r>
      <w:r w:rsidR="00A82021">
        <w:rPr>
          <w:rFonts w:ascii="Times New Roman" w:hAnsi="Times New Roman" w:cs="Times New Roman"/>
          <w:b/>
          <w:sz w:val="24"/>
          <w:szCs w:val="24"/>
          <w:lang w:val="hr-HR"/>
        </w:rPr>
        <w:t>Promina</w:t>
      </w:r>
    </w:p>
    <w:p w14:paraId="5660B209" w14:textId="77777777" w:rsidR="00E93A88" w:rsidRPr="00A82021" w:rsidRDefault="00E93A88" w:rsidP="00A82021">
      <w:pPr>
        <w:autoSpaceDE w:val="0"/>
        <w:autoSpaceDN w:val="0"/>
        <w:adjustRightInd w:val="0"/>
        <w:spacing w:after="0"/>
        <w:jc w:val="center"/>
        <w:rPr>
          <w:rFonts w:ascii="Times New Roman" w:hAnsi="Times New Roman" w:cs="Times New Roman"/>
          <w:b/>
          <w:sz w:val="24"/>
          <w:szCs w:val="24"/>
          <w:lang w:val="hr-HR"/>
        </w:rPr>
      </w:pPr>
    </w:p>
    <w:p w14:paraId="569AF89B" w14:textId="09E20EB4" w:rsidR="00E93A88" w:rsidRPr="00A82021" w:rsidRDefault="00FF0AC2" w:rsidP="00A82021">
      <w:pPr>
        <w:spacing w:after="0" w:line="240" w:lineRule="auto"/>
        <w:ind w:left="3600" w:firstLine="720"/>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Članak</w:t>
      </w:r>
      <w:r w:rsidR="00CD4C1F" w:rsidRPr="00A82021">
        <w:rPr>
          <w:rFonts w:ascii="Times New Roman" w:eastAsia="Times New Roman" w:hAnsi="Times New Roman" w:cs="Times New Roman"/>
          <w:sz w:val="24"/>
          <w:szCs w:val="24"/>
          <w:lang w:val="hr-HR"/>
        </w:rPr>
        <w:t xml:space="preserve"> </w:t>
      </w:r>
      <w:r w:rsidRPr="00A82021">
        <w:rPr>
          <w:rFonts w:ascii="Times New Roman" w:eastAsia="Times New Roman" w:hAnsi="Times New Roman" w:cs="Times New Roman"/>
          <w:sz w:val="24"/>
          <w:szCs w:val="24"/>
          <w:lang w:val="hr-HR"/>
        </w:rPr>
        <w:t>1.</w:t>
      </w:r>
    </w:p>
    <w:p w14:paraId="0F4F3F74" w14:textId="40C68322" w:rsidR="00CD4C1F" w:rsidRPr="00A82021" w:rsidRDefault="0055142C" w:rsidP="00957CE4">
      <w:pPr>
        <w:spacing w:after="0" w:line="240" w:lineRule="auto"/>
        <w:ind w:firstLine="720"/>
        <w:jc w:val="both"/>
        <w:rPr>
          <w:rFonts w:ascii="Times New Roman" w:eastAsia="Times New Roman" w:hAnsi="Times New Roman" w:cs="Times New Roman"/>
          <w:sz w:val="24"/>
          <w:szCs w:val="24"/>
          <w:lang w:val="hr-HR"/>
        </w:rPr>
      </w:pPr>
      <w:r w:rsidRPr="00957CE4">
        <w:rPr>
          <w:rFonts w:ascii="Times New Roman" w:eastAsia="Times New Roman" w:hAnsi="Times New Roman" w:cs="Times New Roman"/>
          <w:sz w:val="24"/>
          <w:szCs w:val="24"/>
          <w:lang w:val="hr-HR"/>
        </w:rPr>
        <w:t xml:space="preserve">U Odluci </w:t>
      </w:r>
      <w:r w:rsidR="00957CE4">
        <w:rPr>
          <w:rFonts w:ascii="Times New Roman" w:eastAsia="Times New Roman" w:hAnsi="Times New Roman" w:cs="Times New Roman"/>
          <w:sz w:val="24"/>
          <w:szCs w:val="24"/>
          <w:lang w:val="hr-HR"/>
        </w:rPr>
        <w:t>o</w:t>
      </w:r>
      <w:r w:rsidRPr="00957CE4">
        <w:rPr>
          <w:rFonts w:ascii="Times New Roman" w:eastAsia="Times New Roman" w:hAnsi="Times New Roman" w:cs="Times New Roman"/>
          <w:sz w:val="24"/>
          <w:szCs w:val="24"/>
          <w:lang w:val="hr-HR"/>
        </w:rPr>
        <w:t xml:space="preserve"> koeficijen</w:t>
      </w:r>
      <w:r w:rsidR="00957CE4">
        <w:rPr>
          <w:rFonts w:ascii="Times New Roman" w:eastAsia="Times New Roman" w:hAnsi="Times New Roman" w:cs="Times New Roman"/>
          <w:sz w:val="24"/>
          <w:szCs w:val="24"/>
          <w:lang w:val="hr-HR"/>
        </w:rPr>
        <w:t xml:space="preserve">tima </w:t>
      </w:r>
      <w:r w:rsidRPr="00957CE4">
        <w:rPr>
          <w:rFonts w:ascii="Times New Roman" w:eastAsia="Times New Roman" w:hAnsi="Times New Roman" w:cs="Times New Roman"/>
          <w:sz w:val="24"/>
          <w:szCs w:val="24"/>
          <w:lang w:val="hr-HR"/>
        </w:rPr>
        <w:t xml:space="preserve">za obračun plaće službenika i namještenika u Jedinstvenom upravnom odjelu Općine </w:t>
      </w:r>
      <w:r w:rsidR="00A82021">
        <w:rPr>
          <w:rFonts w:ascii="Times New Roman" w:eastAsia="Times New Roman" w:hAnsi="Times New Roman" w:cs="Times New Roman"/>
          <w:sz w:val="24"/>
          <w:szCs w:val="24"/>
          <w:lang w:val="hr-HR"/>
        </w:rPr>
        <w:t>Promina</w:t>
      </w:r>
      <w:r>
        <w:rPr>
          <w:rFonts w:ascii="Times New Roman" w:eastAsia="Times New Roman" w:hAnsi="Times New Roman" w:cs="Times New Roman"/>
          <w:sz w:val="24"/>
          <w:szCs w:val="24"/>
          <w:lang w:val="hr-HR"/>
        </w:rPr>
        <w:t xml:space="preserve"> </w:t>
      </w:r>
      <w:r w:rsidRPr="00A82021">
        <w:rPr>
          <w:rFonts w:ascii="Times New Roman" w:eastAsia="Times New Roman" w:hAnsi="Times New Roman" w:cs="Times New Roman"/>
          <w:sz w:val="24"/>
          <w:szCs w:val="24"/>
          <w:lang w:val="hr-HR"/>
        </w:rPr>
        <w:t>(</w:t>
      </w:r>
      <w:r>
        <w:rPr>
          <w:rFonts w:ascii="Times New Roman" w:eastAsia="Times New Roman" w:hAnsi="Times New Roman" w:cs="Times New Roman"/>
          <w:sz w:val="24"/>
          <w:szCs w:val="24"/>
          <w:lang w:val="hr-HR"/>
        </w:rPr>
        <w:t>Službenog glasilo Općine Promina 4</w:t>
      </w:r>
      <w:r w:rsidRPr="00A82021">
        <w:rPr>
          <w:rFonts w:ascii="Times New Roman" w:eastAsia="Times New Roman" w:hAnsi="Times New Roman" w:cs="Times New Roman"/>
          <w:sz w:val="24"/>
          <w:szCs w:val="24"/>
          <w:lang w:val="hr-HR"/>
        </w:rPr>
        <w:t>/21)</w:t>
      </w:r>
      <w:r>
        <w:rPr>
          <w:rFonts w:ascii="Times New Roman" w:eastAsia="Times New Roman" w:hAnsi="Times New Roman" w:cs="Times New Roman"/>
          <w:sz w:val="24"/>
          <w:szCs w:val="24"/>
          <w:lang w:val="hr-HR"/>
        </w:rPr>
        <w:t xml:space="preserve">, </w:t>
      </w:r>
      <w:r w:rsidR="00957CE4">
        <w:rPr>
          <w:rFonts w:ascii="Times New Roman" w:eastAsia="Times New Roman" w:hAnsi="Times New Roman" w:cs="Times New Roman"/>
          <w:sz w:val="24"/>
          <w:szCs w:val="24"/>
          <w:lang w:val="hr-HR"/>
        </w:rPr>
        <w:t xml:space="preserve">u članku 5. mijenja se koeficijent za radna mjesta: </w:t>
      </w:r>
    </w:p>
    <w:p w14:paraId="07FAED81" w14:textId="77777777" w:rsidR="00D66904" w:rsidRDefault="00D66904" w:rsidP="00D66904">
      <w:pPr>
        <w:spacing w:after="0" w:line="240" w:lineRule="auto"/>
        <w:ind w:firstLine="720"/>
        <w:jc w:val="both"/>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Službenici koji rade na projektu</w:t>
      </w:r>
      <w:r>
        <w:rPr>
          <w:rFonts w:ascii="Times New Roman" w:eastAsia="Times New Roman" w:hAnsi="Times New Roman" w:cs="Times New Roman"/>
          <w:sz w:val="24"/>
          <w:szCs w:val="24"/>
          <w:lang w:val="hr-HR"/>
        </w:rPr>
        <w:t xml:space="preserve"> </w:t>
      </w:r>
      <w:r w:rsidRPr="00585405">
        <w:rPr>
          <w:rFonts w:ascii="Times New Roman" w:eastAsia="Times New Roman" w:hAnsi="Times New Roman" w:cs="Times New Roman"/>
          <w:sz w:val="24"/>
          <w:szCs w:val="24"/>
          <w:lang w:val="hr-HR"/>
        </w:rPr>
        <w:t>koji se financira iz fondova i programa Europske unije, ukoliko se plaća službenika financira iz projekta, imaju za vrijeme trajanja projekta pravo na uvećanje koeficijenta složenosti poslova radnog mjesta</w:t>
      </w:r>
      <w:r>
        <w:rPr>
          <w:rFonts w:ascii="Times New Roman" w:eastAsia="Times New Roman" w:hAnsi="Times New Roman" w:cs="Times New Roman"/>
          <w:sz w:val="24"/>
          <w:szCs w:val="24"/>
          <w:lang w:val="hr-HR"/>
        </w:rPr>
        <w:t>, i to:</w:t>
      </w:r>
    </w:p>
    <w:p w14:paraId="40761D71" w14:textId="77777777" w:rsidR="00D66904" w:rsidRPr="004A3C81" w:rsidRDefault="00D66904" w:rsidP="00D66904">
      <w:pPr>
        <w:pStyle w:val="Odlomakpopisa"/>
        <w:numPr>
          <w:ilvl w:val="0"/>
          <w:numId w:val="1"/>
        </w:numPr>
        <w:spacing w:after="0" w:line="240" w:lineRule="auto"/>
        <w:jc w:val="both"/>
        <w:rPr>
          <w:rFonts w:ascii="Times New Roman" w:eastAsia="Times New Roman" w:hAnsi="Times New Roman" w:cs="Times New Roman"/>
          <w:sz w:val="24"/>
          <w:szCs w:val="24"/>
          <w:lang w:val="hr-HR"/>
        </w:rPr>
      </w:pPr>
      <w:r w:rsidRPr="004A3C81">
        <w:rPr>
          <w:rFonts w:ascii="Times New Roman" w:eastAsia="Times New Roman" w:hAnsi="Times New Roman" w:cs="Times New Roman"/>
          <w:sz w:val="24"/>
          <w:szCs w:val="24"/>
          <w:lang w:val="hr-HR"/>
        </w:rPr>
        <w:t>Viši savjetnik za financijsko računovodstvene poslove</w:t>
      </w:r>
      <w:r>
        <w:rPr>
          <w:rFonts w:ascii="Times New Roman" w:eastAsia="Times New Roman" w:hAnsi="Times New Roman" w:cs="Times New Roman"/>
          <w:sz w:val="24"/>
          <w:szCs w:val="24"/>
          <w:lang w:val="hr-HR"/>
        </w:rPr>
        <w:t xml:space="preserve"> – 5%,</w:t>
      </w:r>
    </w:p>
    <w:p w14:paraId="0E545F01" w14:textId="77777777" w:rsidR="00D66904" w:rsidRPr="00371D9A" w:rsidRDefault="00D66904" w:rsidP="00D66904">
      <w:pPr>
        <w:pStyle w:val="Odlomakpopisa"/>
        <w:numPr>
          <w:ilvl w:val="0"/>
          <w:numId w:val="1"/>
        </w:numPr>
        <w:spacing w:after="0" w:line="240" w:lineRule="auto"/>
        <w:jc w:val="both"/>
        <w:rPr>
          <w:rFonts w:ascii="Times New Roman" w:eastAsia="Times New Roman" w:hAnsi="Times New Roman" w:cs="Times New Roman"/>
          <w:sz w:val="24"/>
          <w:szCs w:val="24"/>
          <w:lang w:val="hr-HR"/>
        </w:rPr>
      </w:pPr>
      <w:r w:rsidRPr="00B22CDF">
        <w:rPr>
          <w:rFonts w:ascii="Times New Roman" w:eastAsia="Times New Roman" w:hAnsi="Times New Roman" w:cs="Times New Roman"/>
          <w:sz w:val="24"/>
          <w:szCs w:val="24"/>
          <w:lang w:val="hr-HR"/>
        </w:rPr>
        <w:t>Viši savjetnik za društvene djelatnosti i turizam</w:t>
      </w:r>
      <w:r>
        <w:rPr>
          <w:rFonts w:ascii="Times New Roman" w:eastAsia="Times New Roman" w:hAnsi="Times New Roman" w:cs="Times New Roman"/>
          <w:sz w:val="24"/>
          <w:szCs w:val="24"/>
          <w:lang w:val="hr-HR"/>
        </w:rPr>
        <w:t xml:space="preserve"> – 10%.</w:t>
      </w:r>
    </w:p>
    <w:p w14:paraId="2DB15AF3" w14:textId="3B54454C" w:rsidR="00D66904" w:rsidRDefault="00D66904" w:rsidP="00D66904">
      <w:pPr>
        <w:spacing w:after="0" w:line="240" w:lineRule="auto"/>
        <w:ind w:firstLine="720"/>
        <w:jc w:val="both"/>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 xml:space="preserve">Na plaće zaposlenika koji se u Jedinstveni upravni odjel Općine </w:t>
      </w:r>
      <w:r>
        <w:rPr>
          <w:rFonts w:ascii="Times New Roman" w:eastAsia="Times New Roman" w:hAnsi="Times New Roman" w:cs="Times New Roman"/>
          <w:sz w:val="24"/>
          <w:szCs w:val="24"/>
          <w:lang w:val="hr-HR"/>
        </w:rPr>
        <w:t>Promina</w:t>
      </w:r>
      <w:r w:rsidRPr="00A82021">
        <w:rPr>
          <w:rFonts w:ascii="Times New Roman" w:eastAsia="Times New Roman" w:hAnsi="Times New Roman" w:cs="Times New Roman"/>
          <w:sz w:val="24"/>
          <w:szCs w:val="24"/>
          <w:lang w:val="hr-HR"/>
        </w:rPr>
        <w:t xml:space="preserve"> primaju u službu na određeno vrijeme na poslove provedbe projekta koji se financira sredstvima EU, na odgovarajući način primjenjuju se odredbe ove Odluke koje se odnose na plaće službenika Jedinstvenog upravnog odjela Općine </w:t>
      </w:r>
      <w:r>
        <w:rPr>
          <w:rFonts w:ascii="Times New Roman" w:eastAsia="Times New Roman" w:hAnsi="Times New Roman" w:cs="Times New Roman"/>
          <w:sz w:val="24"/>
          <w:szCs w:val="24"/>
          <w:lang w:val="hr-HR"/>
        </w:rPr>
        <w:t>Promina</w:t>
      </w:r>
      <w:r w:rsidRPr="00A82021">
        <w:rPr>
          <w:rFonts w:ascii="Times New Roman" w:eastAsia="Times New Roman" w:hAnsi="Times New Roman" w:cs="Times New Roman"/>
          <w:sz w:val="24"/>
          <w:szCs w:val="24"/>
          <w:lang w:val="hr-HR"/>
        </w:rPr>
        <w:t xml:space="preserve"> zaposlenih na neodređeno vrijeme. </w:t>
      </w:r>
    </w:p>
    <w:p w14:paraId="0C977EF4" w14:textId="15851633" w:rsidR="006F3EA4" w:rsidRPr="00A82021" w:rsidRDefault="00CD4C1F" w:rsidP="00957CE4">
      <w:pPr>
        <w:spacing w:after="0" w:line="240" w:lineRule="auto"/>
        <w:ind w:firstLine="720"/>
        <w:jc w:val="both"/>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p>
    <w:tbl>
      <w:tblPr>
        <w:tblW w:w="10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525"/>
        <w:gridCol w:w="1134"/>
        <w:gridCol w:w="1418"/>
        <w:gridCol w:w="850"/>
        <w:gridCol w:w="1418"/>
        <w:gridCol w:w="1134"/>
        <w:gridCol w:w="1152"/>
      </w:tblGrid>
      <w:tr w:rsidR="00657F6A" w:rsidRPr="006F3EA4" w14:paraId="289E0667" w14:textId="77777777" w:rsidTr="00CF7D66">
        <w:trPr>
          <w:trHeight w:val="250"/>
          <w:jc w:val="center"/>
        </w:trPr>
        <w:tc>
          <w:tcPr>
            <w:tcW w:w="817" w:type="dxa"/>
          </w:tcPr>
          <w:p w14:paraId="0BFFD9BD" w14:textId="7A40E0A8" w:rsidR="006F3EA4" w:rsidRPr="006F3EA4" w:rsidRDefault="006F3EA4" w:rsidP="006F3EA4">
            <w:pPr>
              <w:pStyle w:val="Default"/>
              <w:rPr>
                <w:sz w:val="20"/>
                <w:szCs w:val="20"/>
              </w:rPr>
            </w:pPr>
            <w:r w:rsidRPr="006F3EA4">
              <w:rPr>
                <w:sz w:val="20"/>
                <w:szCs w:val="20"/>
              </w:rPr>
              <w:t>Redni broj</w:t>
            </w:r>
          </w:p>
        </w:tc>
        <w:tc>
          <w:tcPr>
            <w:tcW w:w="2525" w:type="dxa"/>
          </w:tcPr>
          <w:p w14:paraId="7150E2A0" w14:textId="25F77E06" w:rsidR="006F3EA4" w:rsidRPr="006F3EA4" w:rsidRDefault="006F3EA4" w:rsidP="006F3EA4">
            <w:pPr>
              <w:pStyle w:val="Default"/>
              <w:jc w:val="center"/>
              <w:rPr>
                <w:sz w:val="20"/>
                <w:szCs w:val="20"/>
              </w:rPr>
            </w:pPr>
            <w:r w:rsidRPr="006F3EA4">
              <w:rPr>
                <w:sz w:val="20"/>
                <w:szCs w:val="20"/>
              </w:rPr>
              <w:t>Radno mjesto</w:t>
            </w:r>
          </w:p>
        </w:tc>
        <w:tc>
          <w:tcPr>
            <w:tcW w:w="1134" w:type="dxa"/>
          </w:tcPr>
          <w:p w14:paraId="47131274" w14:textId="22AA82B9" w:rsidR="006F3EA4" w:rsidRPr="006F3EA4" w:rsidRDefault="006F3EA4" w:rsidP="006F3EA4">
            <w:pPr>
              <w:pStyle w:val="Default"/>
              <w:rPr>
                <w:sz w:val="20"/>
                <w:szCs w:val="20"/>
              </w:rPr>
            </w:pPr>
            <w:r w:rsidRPr="006F3EA4">
              <w:rPr>
                <w:sz w:val="20"/>
                <w:szCs w:val="20"/>
              </w:rPr>
              <w:t>Kategorija</w:t>
            </w:r>
          </w:p>
        </w:tc>
        <w:tc>
          <w:tcPr>
            <w:tcW w:w="1418" w:type="dxa"/>
          </w:tcPr>
          <w:p w14:paraId="41B7CF92" w14:textId="0265C52F" w:rsidR="006F3EA4" w:rsidRPr="006F3EA4" w:rsidRDefault="006F3EA4" w:rsidP="006F3EA4">
            <w:pPr>
              <w:pStyle w:val="Default"/>
              <w:rPr>
                <w:sz w:val="20"/>
                <w:szCs w:val="20"/>
              </w:rPr>
            </w:pPr>
            <w:r w:rsidRPr="006F3EA4">
              <w:rPr>
                <w:sz w:val="20"/>
                <w:szCs w:val="20"/>
              </w:rPr>
              <w:t>Potkategorija</w:t>
            </w:r>
          </w:p>
        </w:tc>
        <w:tc>
          <w:tcPr>
            <w:tcW w:w="850" w:type="dxa"/>
          </w:tcPr>
          <w:p w14:paraId="43A2EF4D" w14:textId="154A449D" w:rsidR="006F3EA4" w:rsidRPr="006F3EA4" w:rsidRDefault="006F3EA4" w:rsidP="006F3EA4">
            <w:pPr>
              <w:pStyle w:val="Default"/>
              <w:rPr>
                <w:sz w:val="20"/>
                <w:szCs w:val="20"/>
              </w:rPr>
            </w:pPr>
            <w:r w:rsidRPr="006F3EA4">
              <w:rPr>
                <w:sz w:val="20"/>
                <w:szCs w:val="20"/>
              </w:rPr>
              <w:t>Razina</w:t>
            </w:r>
          </w:p>
        </w:tc>
        <w:tc>
          <w:tcPr>
            <w:tcW w:w="1418" w:type="dxa"/>
          </w:tcPr>
          <w:p w14:paraId="5CC33FF4" w14:textId="5D36F8C7" w:rsidR="006F3EA4" w:rsidRPr="006F3EA4" w:rsidRDefault="006F3EA4" w:rsidP="006F3EA4">
            <w:pPr>
              <w:pStyle w:val="Default"/>
              <w:jc w:val="center"/>
              <w:rPr>
                <w:sz w:val="20"/>
                <w:szCs w:val="20"/>
              </w:rPr>
            </w:pPr>
            <w:r w:rsidRPr="006F3EA4">
              <w:rPr>
                <w:sz w:val="20"/>
                <w:szCs w:val="20"/>
              </w:rPr>
              <w:t>Klasifikacijski rang</w:t>
            </w:r>
          </w:p>
        </w:tc>
        <w:tc>
          <w:tcPr>
            <w:tcW w:w="1134" w:type="dxa"/>
          </w:tcPr>
          <w:p w14:paraId="49794B75" w14:textId="20F2CE8D" w:rsidR="006F3EA4" w:rsidRPr="006F3EA4" w:rsidRDefault="006F3EA4" w:rsidP="006F3EA4">
            <w:pPr>
              <w:pStyle w:val="Default"/>
              <w:jc w:val="center"/>
              <w:rPr>
                <w:sz w:val="20"/>
                <w:szCs w:val="20"/>
              </w:rPr>
            </w:pPr>
            <w:r w:rsidRPr="006F3EA4">
              <w:rPr>
                <w:sz w:val="20"/>
                <w:szCs w:val="20"/>
              </w:rPr>
              <w:t>Broj izvršitelja</w:t>
            </w:r>
          </w:p>
        </w:tc>
        <w:tc>
          <w:tcPr>
            <w:tcW w:w="1152" w:type="dxa"/>
          </w:tcPr>
          <w:p w14:paraId="4D509CD9" w14:textId="1DEAAC0D" w:rsidR="006F3EA4" w:rsidRPr="006F3EA4" w:rsidRDefault="006F3EA4" w:rsidP="006F3EA4">
            <w:pPr>
              <w:pStyle w:val="Default"/>
              <w:rPr>
                <w:sz w:val="20"/>
                <w:szCs w:val="20"/>
              </w:rPr>
            </w:pPr>
            <w:r w:rsidRPr="006F3EA4">
              <w:rPr>
                <w:sz w:val="20"/>
                <w:szCs w:val="20"/>
              </w:rPr>
              <w:t>Koeficijent</w:t>
            </w:r>
          </w:p>
        </w:tc>
      </w:tr>
      <w:tr w:rsidR="00657F6A" w:rsidRPr="006F3EA4" w14:paraId="20132390" w14:textId="77777777" w:rsidTr="00CF7D66">
        <w:trPr>
          <w:trHeight w:val="247"/>
          <w:jc w:val="center"/>
        </w:trPr>
        <w:tc>
          <w:tcPr>
            <w:tcW w:w="817" w:type="dxa"/>
          </w:tcPr>
          <w:p w14:paraId="51686187" w14:textId="4ED7245F" w:rsidR="006F3EA4" w:rsidRPr="006F3EA4" w:rsidRDefault="006F3EA4" w:rsidP="006F3EA4">
            <w:pPr>
              <w:pStyle w:val="Default"/>
              <w:jc w:val="center"/>
              <w:rPr>
                <w:sz w:val="20"/>
                <w:szCs w:val="20"/>
              </w:rPr>
            </w:pPr>
            <w:r w:rsidRPr="006F3EA4">
              <w:rPr>
                <w:sz w:val="20"/>
                <w:szCs w:val="20"/>
              </w:rPr>
              <w:t>1.</w:t>
            </w:r>
          </w:p>
        </w:tc>
        <w:tc>
          <w:tcPr>
            <w:tcW w:w="2525" w:type="dxa"/>
          </w:tcPr>
          <w:p w14:paraId="2C725628" w14:textId="58CEE168" w:rsidR="006F3EA4" w:rsidRPr="006F3EA4" w:rsidRDefault="006F3EA4" w:rsidP="006F3EA4">
            <w:pPr>
              <w:pStyle w:val="Default"/>
              <w:jc w:val="center"/>
              <w:rPr>
                <w:sz w:val="20"/>
                <w:szCs w:val="20"/>
              </w:rPr>
            </w:pPr>
            <w:r w:rsidRPr="006F3EA4">
              <w:rPr>
                <w:rFonts w:eastAsia="Times New Roman"/>
                <w:color w:val="auto"/>
                <w:sz w:val="20"/>
                <w:szCs w:val="20"/>
              </w:rPr>
              <w:t>Viši savjetnik za financijsko računovodstvene poslove</w:t>
            </w:r>
          </w:p>
        </w:tc>
        <w:tc>
          <w:tcPr>
            <w:tcW w:w="1134" w:type="dxa"/>
          </w:tcPr>
          <w:p w14:paraId="395FF567" w14:textId="3F3580B8" w:rsidR="006F3EA4" w:rsidRPr="006F3EA4" w:rsidRDefault="006F3EA4" w:rsidP="006F3EA4">
            <w:pPr>
              <w:pStyle w:val="Default"/>
              <w:jc w:val="center"/>
              <w:rPr>
                <w:sz w:val="20"/>
                <w:szCs w:val="20"/>
              </w:rPr>
            </w:pPr>
            <w:r>
              <w:rPr>
                <w:sz w:val="20"/>
                <w:szCs w:val="20"/>
              </w:rPr>
              <w:t>I</w:t>
            </w:r>
            <w:r w:rsidRPr="006F3EA4">
              <w:rPr>
                <w:sz w:val="20"/>
                <w:szCs w:val="20"/>
              </w:rPr>
              <w:t>I.</w:t>
            </w:r>
          </w:p>
        </w:tc>
        <w:tc>
          <w:tcPr>
            <w:tcW w:w="1418" w:type="dxa"/>
          </w:tcPr>
          <w:p w14:paraId="31564517" w14:textId="20E99B00" w:rsidR="006F3EA4" w:rsidRPr="006F3EA4" w:rsidRDefault="006F3EA4" w:rsidP="006F3EA4">
            <w:pPr>
              <w:pStyle w:val="Default"/>
              <w:rPr>
                <w:sz w:val="20"/>
                <w:szCs w:val="20"/>
              </w:rPr>
            </w:pPr>
            <w:r w:rsidRPr="006F3EA4">
              <w:rPr>
                <w:sz w:val="20"/>
                <w:szCs w:val="20"/>
              </w:rPr>
              <w:t>Viši savjetnik</w:t>
            </w:r>
          </w:p>
        </w:tc>
        <w:tc>
          <w:tcPr>
            <w:tcW w:w="850" w:type="dxa"/>
          </w:tcPr>
          <w:p w14:paraId="55A54092" w14:textId="12050CC0" w:rsidR="006F3EA4" w:rsidRPr="006F3EA4" w:rsidRDefault="006F3EA4" w:rsidP="006F3EA4">
            <w:pPr>
              <w:pStyle w:val="Default"/>
              <w:jc w:val="center"/>
              <w:rPr>
                <w:sz w:val="20"/>
                <w:szCs w:val="20"/>
              </w:rPr>
            </w:pPr>
            <w:r w:rsidRPr="006F3EA4">
              <w:rPr>
                <w:sz w:val="20"/>
                <w:szCs w:val="20"/>
              </w:rPr>
              <w:t>-</w:t>
            </w:r>
          </w:p>
        </w:tc>
        <w:tc>
          <w:tcPr>
            <w:tcW w:w="1418" w:type="dxa"/>
          </w:tcPr>
          <w:p w14:paraId="3FAB0A3D" w14:textId="58621A1B" w:rsidR="006F3EA4" w:rsidRPr="006F3EA4" w:rsidRDefault="00407D9D" w:rsidP="006F3EA4">
            <w:pPr>
              <w:pStyle w:val="Default"/>
              <w:jc w:val="center"/>
              <w:rPr>
                <w:sz w:val="20"/>
                <w:szCs w:val="20"/>
              </w:rPr>
            </w:pPr>
            <w:r>
              <w:rPr>
                <w:sz w:val="20"/>
                <w:szCs w:val="20"/>
              </w:rPr>
              <w:t>4</w:t>
            </w:r>
            <w:r w:rsidR="006F3EA4" w:rsidRPr="006F3EA4">
              <w:rPr>
                <w:sz w:val="20"/>
                <w:szCs w:val="20"/>
              </w:rPr>
              <w:t>.</w:t>
            </w:r>
          </w:p>
        </w:tc>
        <w:tc>
          <w:tcPr>
            <w:tcW w:w="1134" w:type="dxa"/>
          </w:tcPr>
          <w:p w14:paraId="1FB4A0E7" w14:textId="74D22508" w:rsidR="006F3EA4" w:rsidRPr="006F3EA4" w:rsidRDefault="006F3EA4" w:rsidP="006F3EA4">
            <w:pPr>
              <w:pStyle w:val="Default"/>
              <w:jc w:val="center"/>
              <w:rPr>
                <w:sz w:val="20"/>
                <w:szCs w:val="20"/>
              </w:rPr>
            </w:pPr>
            <w:r w:rsidRPr="006F3EA4">
              <w:rPr>
                <w:sz w:val="20"/>
                <w:szCs w:val="20"/>
              </w:rPr>
              <w:t>1</w:t>
            </w:r>
          </w:p>
        </w:tc>
        <w:tc>
          <w:tcPr>
            <w:tcW w:w="1152" w:type="dxa"/>
          </w:tcPr>
          <w:p w14:paraId="6F8D701E" w14:textId="3CE3A682" w:rsidR="006F3EA4" w:rsidRPr="006F3EA4" w:rsidRDefault="006F3EA4" w:rsidP="00B04EF6">
            <w:pPr>
              <w:pStyle w:val="Default"/>
              <w:jc w:val="center"/>
              <w:rPr>
                <w:sz w:val="20"/>
                <w:szCs w:val="20"/>
              </w:rPr>
            </w:pPr>
            <w:r w:rsidRPr="006F3EA4">
              <w:rPr>
                <w:sz w:val="20"/>
                <w:szCs w:val="20"/>
              </w:rPr>
              <w:t>2.21</w:t>
            </w:r>
          </w:p>
        </w:tc>
      </w:tr>
      <w:tr w:rsidR="006F3EA4" w:rsidRPr="006F3EA4" w14:paraId="3789136F" w14:textId="77777777" w:rsidTr="00CF7D66">
        <w:trPr>
          <w:trHeight w:val="247"/>
          <w:jc w:val="center"/>
        </w:trPr>
        <w:tc>
          <w:tcPr>
            <w:tcW w:w="817" w:type="dxa"/>
          </w:tcPr>
          <w:p w14:paraId="19481E1C" w14:textId="047793C9" w:rsidR="006F3EA4" w:rsidRPr="006F3EA4" w:rsidRDefault="006F3EA4" w:rsidP="006F3EA4">
            <w:pPr>
              <w:pStyle w:val="Default"/>
              <w:jc w:val="center"/>
              <w:rPr>
                <w:sz w:val="20"/>
                <w:szCs w:val="20"/>
              </w:rPr>
            </w:pPr>
            <w:r w:rsidRPr="006F3EA4">
              <w:rPr>
                <w:sz w:val="20"/>
                <w:szCs w:val="20"/>
              </w:rPr>
              <w:t>2.</w:t>
            </w:r>
          </w:p>
        </w:tc>
        <w:tc>
          <w:tcPr>
            <w:tcW w:w="2525" w:type="dxa"/>
          </w:tcPr>
          <w:p w14:paraId="7EB7E6FE" w14:textId="107DF4C6" w:rsidR="006F3EA4" w:rsidRPr="006F3EA4" w:rsidRDefault="006F3EA4" w:rsidP="006F3EA4">
            <w:pPr>
              <w:pStyle w:val="Default"/>
              <w:jc w:val="center"/>
              <w:rPr>
                <w:sz w:val="20"/>
                <w:szCs w:val="20"/>
              </w:rPr>
            </w:pPr>
            <w:r w:rsidRPr="006F3EA4">
              <w:rPr>
                <w:rFonts w:eastAsia="Times New Roman"/>
                <w:color w:val="auto"/>
                <w:sz w:val="20"/>
                <w:szCs w:val="20"/>
              </w:rPr>
              <w:t>Viši savjetnik za društvene djelatnosti i turizam</w:t>
            </w:r>
          </w:p>
        </w:tc>
        <w:tc>
          <w:tcPr>
            <w:tcW w:w="1134" w:type="dxa"/>
          </w:tcPr>
          <w:p w14:paraId="7025A1C5" w14:textId="7A6D2F3A" w:rsidR="006F3EA4" w:rsidRPr="006F3EA4" w:rsidRDefault="006F3EA4" w:rsidP="006F3EA4">
            <w:pPr>
              <w:pStyle w:val="Default"/>
              <w:jc w:val="center"/>
              <w:rPr>
                <w:sz w:val="20"/>
                <w:szCs w:val="20"/>
              </w:rPr>
            </w:pPr>
            <w:r w:rsidRPr="006F3EA4">
              <w:rPr>
                <w:sz w:val="20"/>
                <w:szCs w:val="20"/>
              </w:rPr>
              <w:t>II.</w:t>
            </w:r>
          </w:p>
        </w:tc>
        <w:tc>
          <w:tcPr>
            <w:tcW w:w="1418" w:type="dxa"/>
          </w:tcPr>
          <w:p w14:paraId="6EBBFA60" w14:textId="0D97C629" w:rsidR="006F3EA4" w:rsidRPr="006F3EA4" w:rsidRDefault="006F3EA4" w:rsidP="006F3EA4">
            <w:pPr>
              <w:pStyle w:val="Default"/>
              <w:rPr>
                <w:sz w:val="20"/>
                <w:szCs w:val="20"/>
              </w:rPr>
            </w:pPr>
            <w:r w:rsidRPr="006F3EA4">
              <w:rPr>
                <w:sz w:val="20"/>
                <w:szCs w:val="20"/>
              </w:rPr>
              <w:t>Viši savjetnik</w:t>
            </w:r>
          </w:p>
        </w:tc>
        <w:tc>
          <w:tcPr>
            <w:tcW w:w="850" w:type="dxa"/>
          </w:tcPr>
          <w:p w14:paraId="3C811FCC" w14:textId="49B9C087" w:rsidR="006F3EA4" w:rsidRPr="006F3EA4" w:rsidRDefault="006F3EA4" w:rsidP="006F3EA4">
            <w:pPr>
              <w:pStyle w:val="Default"/>
              <w:jc w:val="center"/>
              <w:rPr>
                <w:sz w:val="20"/>
                <w:szCs w:val="20"/>
              </w:rPr>
            </w:pPr>
            <w:r w:rsidRPr="006F3EA4">
              <w:rPr>
                <w:sz w:val="20"/>
                <w:szCs w:val="20"/>
              </w:rPr>
              <w:t>-</w:t>
            </w:r>
          </w:p>
        </w:tc>
        <w:tc>
          <w:tcPr>
            <w:tcW w:w="1418" w:type="dxa"/>
          </w:tcPr>
          <w:p w14:paraId="40ADB6BE" w14:textId="2C48586A" w:rsidR="006F3EA4" w:rsidRPr="006F3EA4" w:rsidRDefault="00407D9D" w:rsidP="006F3EA4">
            <w:pPr>
              <w:pStyle w:val="Default"/>
              <w:jc w:val="center"/>
              <w:rPr>
                <w:sz w:val="20"/>
                <w:szCs w:val="20"/>
              </w:rPr>
            </w:pPr>
            <w:r>
              <w:rPr>
                <w:sz w:val="20"/>
                <w:szCs w:val="20"/>
              </w:rPr>
              <w:t>4</w:t>
            </w:r>
            <w:r w:rsidR="006F3EA4" w:rsidRPr="006F3EA4">
              <w:rPr>
                <w:sz w:val="20"/>
                <w:szCs w:val="20"/>
              </w:rPr>
              <w:t>.</w:t>
            </w:r>
          </w:p>
        </w:tc>
        <w:tc>
          <w:tcPr>
            <w:tcW w:w="1134" w:type="dxa"/>
          </w:tcPr>
          <w:p w14:paraId="6348647F" w14:textId="761BC9A4" w:rsidR="006F3EA4" w:rsidRPr="006F3EA4" w:rsidRDefault="006F3EA4" w:rsidP="006F3EA4">
            <w:pPr>
              <w:pStyle w:val="Default"/>
              <w:jc w:val="center"/>
              <w:rPr>
                <w:sz w:val="20"/>
                <w:szCs w:val="20"/>
              </w:rPr>
            </w:pPr>
            <w:r w:rsidRPr="006F3EA4">
              <w:rPr>
                <w:sz w:val="20"/>
                <w:szCs w:val="20"/>
              </w:rPr>
              <w:t>1</w:t>
            </w:r>
          </w:p>
        </w:tc>
        <w:tc>
          <w:tcPr>
            <w:tcW w:w="1152" w:type="dxa"/>
          </w:tcPr>
          <w:p w14:paraId="6B44554B" w14:textId="228C893F" w:rsidR="006F3EA4" w:rsidRPr="006F3EA4" w:rsidRDefault="006F3EA4" w:rsidP="006F3EA4">
            <w:pPr>
              <w:pStyle w:val="Default"/>
              <w:jc w:val="center"/>
              <w:rPr>
                <w:sz w:val="20"/>
                <w:szCs w:val="20"/>
              </w:rPr>
            </w:pPr>
            <w:r w:rsidRPr="006F3EA4">
              <w:rPr>
                <w:sz w:val="20"/>
                <w:szCs w:val="20"/>
              </w:rPr>
              <w:t>2,31</w:t>
            </w:r>
          </w:p>
        </w:tc>
      </w:tr>
      <w:tr w:rsidR="006F3EA4" w:rsidRPr="006F3EA4" w14:paraId="2435D6EE" w14:textId="77777777" w:rsidTr="00CF7D66">
        <w:trPr>
          <w:trHeight w:val="247"/>
          <w:jc w:val="center"/>
        </w:trPr>
        <w:tc>
          <w:tcPr>
            <w:tcW w:w="817" w:type="dxa"/>
          </w:tcPr>
          <w:p w14:paraId="2E1C205E" w14:textId="0506A77F" w:rsidR="006F3EA4" w:rsidRPr="00EB66FB" w:rsidRDefault="006F3EA4" w:rsidP="006F3EA4">
            <w:pPr>
              <w:pStyle w:val="Default"/>
              <w:jc w:val="center"/>
              <w:rPr>
                <w:rFonts w:eastAsia="Times New Roman"/>
                <w:color w:val="auto"/>
                <w:sz w:val="20"/>
                <w:szCs w:val="20"/>
              </w:rPr>
            </w:pPr>
            <w:r w:rsidRPr="00EB66FB">
              <w:rPr>
                <w:rFonts w:eastAsia="Times New Roman"/>
                <w:color w:val="auto"/>
                <w:sz w:val="20"/>
                <w:szCs w:val="20"/>
              </w:rPr>
              <w:t>3.</w:t>
            </w:r>
          </w:p>
        </w:tc>
        <w:tc>
          <w:tcPr>
            <w:tcW w:w="2525" w:type="dxa"/>
          </w:tcPr>
          <w:p w14:paraId="0812886C" w14:textId="16B07309" w:rsidR="006F3EA4" w:rsidRPr="006F3EA4" w:rsidRDefault="00EE7D94" w:rsidP="00407D9D">
            <w:pPr>
              <w:pStyle w:val="Default"/>
              <w:jc w:val="center"/>
              <w:rPr>
                <w:rFonts w:eastAsia="Times New Roman"/>
                <w:color w:val="auto"/>
                <w:sz w:val="20"/>
                <w:szCs w:val="20"/>
              </w:rPr>
            </w:pPr>
            <w:r>
              <w:rPr>
                <w:rFonts w:eastAsia="Times New Roman"/>
                <w:color w:val="auto"/>
                <w:sz w:val="20"/>
                <w:szCs w:val="20"/>
              </w:rPr>
              <w:t>Viši referent za komunalne poslove</w:t>
            </w:r>
          </w:p>
        </w:tc>
        <w:tc>
          <w:tcPr>
            <w:tcW w:w="1134" w:type="dxa"/>
          </w:tcPr>
          <w:p w14:paraId="4A085BA5" w14:textId="65B51BE3" w:rsidR="006F3EA4" w:rsidRPr="00EB66FB" w:rsidRDefault="00407D9D" w:rsidP="006F3EA4">
            <w:pPr>
              <w:pStyle w:val="Default"/>
              <w:jc w:val="center"/>
              <w:rPr>
                <w:rFonts w:eastAsia="Times New Roman"/>
                <w:color w:val="auto"/>
                <w:sz w:val="20"/>
                <w:szCs w:val="20"/>
              </w:rPr>
            </w:pPr>
            <w:r w:rsidRPr="00EB66FB">
              <w:rPr>
                <w:rFonts w:eastAsia="Times New Roman"/>
                <w:color w:val="auto"/>
                <w:sz w:val="20"/>
                <w:szCs w:val="20"/>
              </w:rPr>
              <w:t>III.</w:t>
            </w:r>
          </w:p>
        </w:tc>
        <w:tc>
          <w:tcPr>
            <w:tcW w:w="1418" w:type="dxa"/>
          </w:tcPr>
          <w:p w14:paraId="3DB09C90" w14:textId="4B38842E" w:rsidR="006F3EA4" w:rsidRPr="00EB66FB" w:rsidRDefault="00407D9D" w:rsidP="006F3EA4">
            <w:pPr>
              <w:pStyle w:val="Default"/>
              <w:rPr>
                <w:rFonts w:eastAsia="Times New Roman"/>
                <w:color w:val="auto"/>
                <w:sz w:val="20"/>
                <w:szCs w:val="20"/>
              </w:rPr>
            </w:pPr>
            <w:r w:rsidRPr="00EB66FB">
              <w:rPr>
                <w:rFonts w:eastAsia="Times New Roman"/>
                <w:color w:val="auto"/>
                <w:sz w:val="20"/>
                <w:szCs w:val="20"/>
              </w:rPr>
              <w:t>Referent</w:t>
            </w:r>
          </w:p>
        </w:tc>
        <w:tc>
          <w:tcPr>
            <w:tcW w:w="850" w:type="dxa"/>
          </w:tcPr>
          <w:p w14:paraId="3B730F10" w14:textId="5233A7E9" w:rsidR="006F3EA4" w:rsidRPr="00EB66FB" w:rsidRDefault="00407D9D" w:rsidP="006F3EA4">
            <w:pPr>
              <w:pStyle w:val="Default"/>
              <w:jc w:val="center"/>
              <w:rPr>
                <w:rFonts w:eastAsia="Times New Roman"/>
                <w:color w:val="auto"/>
                <w:sz w:val="20"/>
                <w:szCs w:val="20"/>
              </w:rPr>
            </w:pPr>
            <w:r w:rsidRPr="00EB66FB">
              <w:rPr>
                <w:rFonts w:eastAsia="Times New Roman"/>
                <w:color w:val="auto"/>
                <w:sz w:val="20"/>
                <w:szCs w:val="20"/>
              </w:rPr>
              <w:t>-</w:t>
            </w:r>
          </w:p>
        </w:tc>
        <w:tc>
          <w:tcPr>
            <w:tcW w:w="1418" w:type="dxa"/>
          </w:tcPr>
          <w:p w14:paraId="4815AEFB" w14:textId="3F753ED0" w:rsidR="006F3EA4" w:rsidRPr="00EB66FB" w:rsidRDefault="00EE7D94" w:rsidP="006F3EA4">
            <w:pPr>
              <w:pStyle w:val="Default"/>
              <w:jc w:val="center"/>
              <w:rPr>
                <w:rFonts w:eastAsia="Times New Roman"/>
                <w:color w:val="auto"/>
                <w:sz w:val="20"/>
                <w:szCs w:val="20"/>
              </w:rPr>
            </w:pPr>
            <w:r>
              <w:rPr>
                <w:rFonts w:eastAsia="Times New Roman"/>
                <w:color w:val="auto"/>
                <w:sz w:val="20"/>
                <w:szCs w:val="20"/>
              </w:rPr>
              <w:t>9.</w:t>
            </w:r>
          </w:p>
        </w:tc>
        <w:tc>
          <w:tcPr>
            <w:tcW w:w="1134" w:type="dxa"/>
          </w:tcPr>
          <w:p w14:paraId="02E6A8AE" w14:textId="314E493B" w:rsidR="006F3EA4" w:rsidRPr="00EB66FB" w:rsidRDefault="00EB66FB" w:rsidP="006F3EA4">
            <w:pPr>
              <w:pStyle w:val="Default"/>
              <w:jc w:val="center"/>
              <w:rPr>
                <w:rFonts w:eastAsia="Times New Roman"/>
                <w:color w:val="auto"/>
                <w:sz w:val="20"/>
                <w:szCs w:val="20"/>
              </w:rPr>
            </w:pPr>
            <w:r w:rsidRPr="00EB66FB">
              <w:rPr>
                <w:rFonts w:eastAsia="Times New Roman"/>
                <w:color w:val="auto"/>
                <w:sz w:val="20"/>
                <w:szCs w:val="20"/>
              </w:rPr>
              <w:t>1</w:t>
            </w:r>
          </w:p>
        </w:tc>
        <w:tc>
          <w:tcPr>
            <w:tcW w:w="1152" w:type="dxa"/>
          </w:tcPr>
          <w:p w14:paraId="65E1D85A" w14:textId="667198E2" w:rsidR="006F3EA4" w:rsidRPr="00EB66FB" w:rsidRDefault="00EB66FB" w:rsidP="006F3EA4">
            <w:pPr>
              <w:pStyle w:val="Default"/>
              <w:jc w:val="center"/>
              <w:rPr>
                <w:rFonts w:eastAsia="Times New Roman"/>
                <w:color w:val="auto"/>
                <w:sz w:val="20"/>
                <w:szCs w:val="20"/>
              </w:rPr>
            </w:pPr>
            <w:r w:rsidRPr="00EB66FB">
              <w:rPr>
                <w:rFonts w:eastAsia="Times New Roman"/>
                <w:color w:val="auto"/>
                <w:sz w:val="20"/>
                <w:szCs w:val="20"/>
              </w:rPr>
              <w:t>1,60</w:t>
            </w:r>
          </w:p>
        </w:tc>
      </w:tr>
    </w:tbl>
    <w:p w14:paraId="26F013AC" w14:textId="77777777" w:rsidR="000E0B3B" w:rsidRPr="00A82021" w:rsidRDefault="00826C6D" w:rsidP="00A82021">
      <w:pPr>
        <w:spacing w:after="0" w:line="240" w:lineRule="auto"/>
        <w:ind w:firstLine="720"/>
        <w:jc w:val="both"/>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r w:rsidRPr="00A82021">
        <w:rPr>
          <w:rFonts w:ascii="Times New Roman" w:eastAsia="Times New Roman" w:hAnsi="Times New Roman" w:cs="Times New Roman"/>
          <w:sz w:val="24"/>
          <w:szCs w:val="24"/>
          <w:lang w:val="hr-HR"/>
        </w:rPr>
        <w:tab/>
      </w:r>
    </w:p>
    <w:p w14:paraId="41E365B4" w14:textId="51D6F2F0" w:rsidR="00826C6D" w:rsidRPr="00A82021" w:rsidRDefault="00826C6D" w:rsidP="00EB66FB">
      <w:pPr>
        <w:spacing w:after="0" w:line="240" w:lineRule="auto"/>
        <w:jc w:val="center"/>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 xml:space="preserve">Članak </w:t>
      </w:r>
      <w:r w:rsidR="00D05912">
        <w:rPr>
          <w:rFonts w:ascii="Times New Roman" w:eastAsia="Times New Roman" w:hAnsi="Times New Roman" w:cs="Times New Roman"/>
          <w:sz w:val="24"/>
          <w:szCs w:val="24"/>
          <w:lang w:val="hr-HR"/>
        </w:rPr>
        <w:t>2</w:t>
      </w:r>
      <w:r w:rsidRPr="00A82021">
        <w:rPr>
          <w:rFonts w:ascii="Times New Roman" w:eastAsia="Times New Roman" w:hAnsi="Times New Roman" w:cs="Times New Roman"/>
          <w:sz w:val="24"/>
          <w:szCs w:val="24"/>
          <w:lang w:val="hr-HR"/>
        </w:rPr>
        <w:t>.</w:t>
      </w:r>
    </w:p>
    <w:p w14:paraId="55E5C7EA" w14:textId="78F46536" w:rsidR="001000E4" w:rsidRPr="00A82021" w:rsidRDefault="00CD4C1F" w:rsidP="00A82021">
      <w:pPr>
        <w:spacing w:after="0" w:line="240" w:lineRule="auto"/>
        <w:jc w:val="both"/>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ab/>
      </w:r>
      <w:r w:rsidR="00371428" w:rsidRPr="00A82021">
        <w:rPr>
          <w:rFonts w:ascii="Times New Roman" w:eastAsia="Times New Roman" w:hAnsi="Times New Roman" w:cs="Times New Roman"/>
          <w:sz w:val="24"/>
          <w:szCs w:val="24"/>
          <w:lang w:val="hr-HR"/>
        </w:rPr>
        <w:t>Koeficijent</w:t>
      </w:r>
      <w:r w:rsidR="009E20C0" w:rsidRPr="00A82021">
        <w:rPr>
          <w:rFonts w:ascii="Times New Roman" w:eastAsia="Times New Roman" w:hAnsi="Times New Roman" w:cs="Times New Roman"/>
          <w:sz w:val="24"/>
          <w:szCs w:val="24"/>
          <w:lang w:val="hr-HR"/>
        </w:rPr>
        <w:t>i</w:t>
      </w:r>
      <w:r w:rsidR="00371428" w:rsidRPr="00A82021">
        <w:rPr>
          <w:rFonts w:ascii="Times New Roman" w:eastAsia="Times New Roman" w:hAnsi="Times New Roman" w:cs="Times New Roman"/>
          <w:sz w:val="24"/>
          <w:szCs w:val="24"/>
          <w:lang w:val="hr-HR"/>
        </w:rPr>
        <w:t xml:space="preserve"> iz članka </w:t>
      </w:r>
      <w:r w:rsidR="00D05912">
        <w:rPr>
          <w:rFonts w:ascii="Times New Roman" w:eastAsia="Times New Roman" w:hAnsi="Times New Roman" w:cs="Times New Roman"/>
          <w:sz w:val="24"/>
          <w:szCs w:val="24"/>
          <w:lang w:val="hr-HR"/>
        </w:rPr>
        <w:t>1</w:t>
      </w:r>
      <w:r w:rsidR="00371428" w:rsidRPr="00A82021">
        <w:rPr>
          <w:rFonts w:ascii="Times New Roman" w:eastAsia="Times New Roman" w:hAnsi="Times New Roman" w:cs="Times New Roman"/>
          <w:sz w:val="24"/>
          <w:szCs w:val="24"/>
          <w:lang w:val="hr-HR"/>
        </w:rPr>
        <w:t>. počinj</w:t>
      </w:r>
      <w:r w:rsidR="009E20C0" w:rsidRPr="00A82021">
        <w:rPr>
          <w:rFonts w:ascii="Times New Roman" w:eastAsia="Times New Roman" w:hAnsi="Times New Roman" w:cs="Times New Roman"/>
          <w:sz w:val="24"/>
          <w:szCs w:val="24"/>
          <w:lang w:val="hr-HR"/>
        </w:rPr>
        <w:t>u</w:t>
      </w:r>
      <w:r w:rsidR="00371428" w:rsidRPr="00A82021">
        <w:rPr>
          <w:rFonts w:ascii="Times New Roman" w:eastAsia="Times New Roman" w:hAnsi="Times New Roman" w:cs="Times New Roman"/>
          <w:sz w:val="24"/>
          <w:szCs w:val="24"/>
          <w:lang w:val="hr-HR"/>
        </w:rPr>
        <w:t xml:space="preserve"> se primjenjivati za obračun plaća za </w:t>
      </w:r>
      <w:r w:rsidR="00CC41AD">
        <w:rPr>
          <w:rFonts w:ascii="Times New Roman" w:eastAsia="Times New Roman" w:hAnsi="Times New Roman" w:cs="Times New Roman"/>
          <w:sz w:val="24"/>
          <w:szCs w:val="24"/>
          <w:lang w:val="hr-HR"/>
        </w:rPr>
        <w:t>lipanj</w:t>
      </w:r>
      <w:r w:rsidR="00371428" w:rsidRPr="00A82021">
        <w:rPr>
          <w:rFonts w:ascii="Times New Roman" w:eastAsia="Times New Roman" w:hAnsi="Times New Roman" w:cs="Times New Roman"/>
          <w:sz w:val="24"/>
          <w:szCs w:val="24"/>
          <w:lang w:val="hr-HR"/>
        </w:rPr>
        <w:t xml:space="preserve"> 202</w:t>
      </w:r>
      <w:r w:rsidR="00CC41AD">
        <w:rPr>
          <w:rFonts w:ascii="Times New Roman" w:eastAsia="Times New Roman" w:hAnsi="Times New Roman" w:cs="Times New Roman"/>
          <w:sz w:val="24"/>
          <w:szCs w:val="24"/>
          <w:lang w:val="hr-HR"/>
        </w:rPr>
        <w:t>4</w:t>
      </w:r>
      <w:r w:rsidR="00371428" w:rsidRPr="00A82021">
        <w:rPr>
          <w:rFonts w:ascii="Times New Roman" w:eastAsia="Times New Roman" w:hAnsi="Times New Roman" w:cs="Times New Roman"/>
          <w:sz w:val="24"/>
          <w:szCs w:val="24"/>
          <w:lang w:val="hr-HR"/>
        </w:rPr>
        <w:t>. godine.</w:t>
      </w:r>
    </w:p>
    <w:p w14:paraId="5D3186D8" w14:textId="77777777" w:rsidR="00EE7D94" w:rsidRDefault="00EE7D94" w:rsidP="00657F6A">
      <w:pPr>
        <w:pStyle w:val="Default"/>
        <w:jc w:val="center"/>
        <w:rPr>
          <w:sz w:val="23"/>
          <w:szCs w:val="23"/>
        </w:rPr>
      </w:pPr>
    </w:p>
    <w:p w14:paraId="70E1208B" w14:textId="77777777" w:rsidR="004A7D52" w:rsidRDefault="004A7D52" w:rsidP="00657F6A">
      <w:pPr>
        <w:pStyle w:val="Default"/>
        <w:jc w:val="center"/>
        <w:rPr>
          <w:sz w:val="23"/>
          <w:szCs w:val="23"/>
        </w:rPr>
      </w:pPr>
    </w:p>
    <w:p w14:paraId="0D45BE07" w14:textId="75A90992" w:rsidR="00657F6A" w:rsidRDefault="00657F6A" w:rsidP="00657F6A">
      <w:pPr>
        <w:pStyle w:val="Default"/>
        <w:jc w:val="center"/>
        <w:rPr>
          <w:sz w:val="23"/>
          <w:szCs w:val="23"/>
        </w:rPr>
      </w:pPr>
      <w:r>
        <w:rPr>
          <w:sz w:val="23"/>
          <w:szCs w:val="23"/>
        </w:rPr>
        <w:lastRenderedPageBreak/>
        <w:t xml:space="preserve">Članak </w:t>
      </w:r>
      <w:r w:rsidR="00D05912">
        <w:rPr>
          <w:sz w:val="23"/>
          <w:szCs w:val="23"/>
        </w:rPr>
        <w:t>3</w:t>
      </w:r>
      <w:r>
        <w:rPr>
          <w:sz w:val="23"/>
          <w:szCs w:val="23"/>
        </w:rPr>
        <w:t>.</w:t>
      </w:r>
    </w:p>
    <w:p w14:paraId="7A900F6C" w14:textId="7B881632" w:rsidR="00657F6A" w:rsidRPr="00A82021" w:rsidRDefault="00CF7D66" w:rsidP="00EE7D94">
      <w:pPr>
        <w:spacing w:after="0" w:line="240" w:lineRule="auto"/>
        <w:ind w:firstLine="720"/>
        <w:jc w:val="both"/>
        <w:rPr>
          <w:rFonts w:ascii="Times New Roman" w:eastAsia="Times New Roman" w:hAnsi="Times New Roman" w:cs="Times New Roman"/>
          <w:sz w:val="24"/>
          <w:szCs w:val="24"/>
          <w:lang w:val="hr-HR"/>
        </w:rPr>
      </w:pPr>
      <w:r>
        <w:rPr>
          <w:rFonts w:ascii="Times New Roman" w:eastAsia="Times New Roman" w:hAnsi="Times New Roman" w:cs="Times New Roman"/>
          <w:sz w:val="24"/>
          <w:szCs w:val="24"/>
          <w:lang w:val="hr-HR"/>
        </w:rPr>
        <w:t>Službenica za privremeno obavljanje poslova pročelnika</w:t>
      </w:r>
      <w:r w:rsidR="00657F6A" w:rsidRPr="00657F6A">
        <w:rPr>
          <w:rFonts w:ascii="Times New Roman" w:eastAsia="Times New Roman" w:hAnsi="Times New Roman" w:cs="Times New Roman"/>
          <w:sz w:val="24"/>
          <w:szCs w:val="24"/>
          <w:lang w:val="hr-HR"/>
        </w:rPr>
        <w:t xml:space="preserve"> donijet će pojedinačna rješenja o plaći službenika i namještenika u Jedinstvenom upravnom odjelu Općine Promina sukladno ovoj Odluci.</w:t>
      </w:r>
    </w:p>
    <w:p w14:paraId="7BC18498" w14:textId="77777777" w:rsidR="000E0B3B" w:rsidRPr="00A82021" w:rsidRDefault="000E0B3B" w:rsidP="00A82021">
      <w:pPr>
        <w:spacing w:after="0" w:line="240" w:lineRule="auto"/>
        <w:jc w:val="both"/>
        <w:rPr>
          <w:rFonts w:ascii="Times New Roman" w:eastAsia="Times New Roman" w:hAnsi="Times New Roman" w:cs="Times New Roman"/>
          <w:sz w:val="24"/>
          <w:szCs w:val="24"/>
          <w:lang w:val="hr-HR"/>
        </w:rPr>
      </w:pPr>
    </w:p>
    <w:p w14:paraId="6B335025" w14:textId="18375B53" w:rsidR="001000E4" w:rsidRPr="00A82021" w:rsidRDefault="00E93A88" w:rsidP="00A82021">
      <w:pPr>
        <w:spacing w:after="0" w:line="240" w:lineRule="auto"/>
        <w:jc w:val="center"/>
        <w:rPr>
          <w:rFonts w:ascii="Times New Roman" w:eastAsia="Times New Roman" w:hAnsi="Times New Roman" w:cs="Times New Roman"/>
          <w:sz w:val="24"/>
          <w:szCs w:val="24"/>
          <w:lang w:val="hr-HR"/>
        </w:rPr>
      </w:pPr>
      <w:r w:rsidRPr="00A82021">
        <w:rPr>
          <w:rFonts w:ascii="Times New Roman" w:eastAsia="Times New Roman" w:hAnsi="Times New Roman" w:cs="Times New Roman"/>
          <w:sz w:val="24"/>
          <w:szCs w:val="24"/>
          <w:lang w:val="hr-HR"/>
        </w:rPr>
        <w:t xml:space="preserve">Članak </w:t>
      </w:r>
      <w:r w:rsidR="00D05912">
        <w:rPr>
          <w:rFonts w:ascii="Times New Roman" w:eastAsia="Times New Roman" w:hAnsi="Times New Roman" w:cs="Times New Roman"/>
          <w:sz w:val="24"/>
          <w:szCs w:val="24"/>
          <w:lang w:val="hr-HR"/>
        </w:rPr>
        <w:t>4</w:t>
      </w:r>
      <w:r w:rsidR="00CD4C1F" w:rsidRPr="00A82021">
        <w:rPr>
          <w:rFonts w:ascii="Times New Roman" w:eastAsia="Times New Roman" w:hAnsi="Times New Roman" w:cs="Times New Roman"/>
          <w:sz w:val="24"/>
          <w:szCs w:val="24"/>
          <w:lang w:val="hr-HR"/>
        </w:rPr>
        <w:t>.</w:t>
      </w:r>
    </w:p>
    <w:p w14:paraId="2A968A1D" w14:textId="00FD1739" w:rsidR="00345145" w:rsidRPr="00A82021" w:rsidRDefault="00345145" w:rsidP="00A82021">
      <w:pPr>
        <w:spacing w:after="0"/>
        <w:jc w:val="both"/>
        <w:rPr>
          <w:rFonts w:ascii="Times New Roman" w:hAnsi="Times New Roman" w:cs="Times New Roman"/>
          <w:sz w:val="24"/>
          <w:szCs w:val="24"/>
          <w:lang w:val="hr-HR"/>
        </w:rPr>
      </w:pPr>
      <w:r w:rsidRPr="00A82021">
        <w:rPr>
          <w:rFonts w:ascii="Times New Roman" w:hAnsi="Times New Roman" w:cs="Times New Roman"/>
          <w:sz w:val="24"/>
          <w:szCs w:val="24"/>
          <w:lang w:val="hr-HR"/>
        </w:rPr>
        <w:tab/>
        <w:t xml:space="preserve">Ova Odluka </w:t>
      </w:r>
      <w:r w:rsidR="005A6F28" w:rsidRPr="00A82021">
        <w:rPr>
          <w:rFonts w:ascii="Times New Roman" w:hAnsi="Times New Roman" w:cs="Times New Roman"/>
          <w:sz w:val="24"/>
          <w:szCs w:val="24"/>
          <w:lang w:val="hr-HR"/>
        </w:rPr>
        <w:t>stupa na snagu osmog dana od dana objave</w:t>
      </w:r>
      <w:r w:rsidR="00AA2319" w:rsidRPr="00A82021">
        <w:rPr>
          <w:rFonts w:ascii="Times New Roman" w:hAnsi="Times New Roman" w:cs="Times New Roman"/>
          <w:sz w:val="24"/>
          <w:szCs w:val="24"/>
          <w:lang w:val="hr-HR"/>
        </w:rPr>
        <w:t xml:space="preserve"> u </w:t>
      </w:r>
      <w:r w:rsidR="00080860" w:rsidRPr="00A82021">
        <w:rPr>
          <w:rFonts w:ascii="Times New Roman" w:hAnsi="Times New Roman" w:cs="Times New Roman"/>
          <w:sz w:val="24"/>
          <w:szCs w:val="24"/>
          <w:lang w:val="hr-HR"/>
        </w:rPr>
        <w:t xml:space="preserve">Službenom </w:t>
      </w:r>
      <w:r w:rsidR="00CD4C1F" w:rsidRPr="00A82021">
        <w:rPr>
          <w:rFonts w:ascii="Times New Roman" w:hAnsi="Times New Roman" w:cs="Times New Roman"/>
          <w:sz w:val="24"/>
          <w:szCs w:val="24"/>
          <w:lang w:val="hr-HR"/>
        </w:rPr>
        <w:t xml:space="preserve">glasilu Općine </w:t>
      </w:r>
      <w:r w:rsidR="00C72C27">
        <w:rPr>
          <w:rFonts w:ascii="Times New Roman" w:hAnsi="Times New Roman" w:cs="Times New Roman"/>
          <w:sz w:val="24"/>
          <w:szCs w:val="24"/>
          <w:lang w:val="hr-HR"/>
        </w:rPr>
        <w:t>Promina</w:t>
      </w:r>
      <w:r w:rsidR="005A6F28" w:rsidRPr="00A82021">
        <w:rPr>
          <w:rFonts w:ascii="Times New Roman" w:hAnsi="Times New Roman" w:cs="Times New Roman"/>
          <w:sz w:val="24"/>
          <w:szCs w:val="24"/>
          <w:lang w:val="hr-HR"/>
        </w:rPr>
        <w:t>.</w:t>
      </w:r>
    </w:p>
    <w:p w14:paraId="6C3D38F3" w14:textId="77777777" w:rsidR="0030023A" w:rsidRPr="00A82021" w:rsidRDefault="0030023A" w:rsidP="00A82021">
      <w:pPr>
        <w:spacing w:after="0"/>
        <w:jc w:val="both"/>
        <w:rPr>
          <w:rFonts w:ascii="Times New Roman" w:hAnsi="Times New Roman" w:cs="Times New Roman"/>
          <w:sz w:val="24"/>
          <w:szCs w:val="24"/>
          <w:lang w:val="hr-HR"/>
        </w:rPr>
      </w:pPr>
    </w:p>
    <w:p w14:paraId="72E722B2" w14:textId="77777777" w:rsidR="0055142C" w:rsidRPr="00CC41AD" w:rsidRDefault="0055142C" w:rsidP="00A82021">
      <w:pPr>
        <w:spacing w:after="0"/>
        <w:rPr>
          <w:rFonts w:ascii="Times New Roman" w:hAnsi="Times New Roman" w:cs="Times New Roman"/>
          <w:bCs/>
          <w:sz w:val="24"/>
          <w:szCs w:val="24"/>
          <w:lang w:val="it-IT"/>
        </w:rPr>
      </w:pPr>
    </w:p>
    <w:p w14:paraId="5325EA1F" w14:textId="77777777" w:rsidR="00345145" w:rsidRPr="00CC41AD" w:rsidRDefault="00345145" w:rsidP="00A82021">
      <w:pPr>
        <w:spacing w:after="0"/>
        <w:jc w:val="center"/>
        <w:rPr>
          <w:rFonts w:ascii="Times New Roman" w:hAnsi="Times New Roman" w:cs="Times New Roman"/>
          <w:bCs/>
          <w:sz w:val="24"/>
          <w:szCs w:val="24"/>
        </w:rPr>
      </w:pPr>
      <w:r w:rsidRPr="00CC41AD">
        <w:rPr>
          <w:rFonts w:ascii="Times New Roman" w:hAnsi="Times New Roman" w:cs="Times New Roman"/>
          <w:bCs/>
          <w:sz w:val="24"/>
          <w:szCs w:val="24"/>
        </w:rPr>
        <w:t>OPĆINSKO VIJEĆE</w:t>
      </w:r>
    </w:p>
    <w:p w14:paraId="70938D16" w14:textId="31E84150" w:rsidR="00633CA5" w:rsidRPr="00CC41AD" w:rsidRDefault="00633CA5" w:rsidP="00A82021">
      <w:pPr>
        <w:spacing w:after="0"/>
        <w:jc w:val="center"/>
        <w:rPr>
          <w:rFonts w:ascii="Times New Roman" w:hAnsi="Times New Roman" w:cs="Times New Roman"/>
          <w:bCs/>
          <w:sz w:val="24"/>
          <w:szCs w:val="24"/>
        </w:rPr>
      </w:pPr>
      <w:r w:rsidRPr="00CC41AD">
        <w:rPr>
          <w:rFonts w:ascii="Times New Roman" w:hAnsi="Times New Roman" w:cs="Times New Roman"/>
          <w:bCs/>
          <w:sz w:val="24"/>
          <w:szCs w:val="24"/>
        </w:rPr>
        <w:t>OPĆIN</w:t>
      </w:r>
      <w:r w:rsidR="005A33B2" w:rsidRPr="00CC41AD">
        <w:rPr>
          <w:rFonts w:ascii="Times New Roman" w:hAnsi="Times New Roman" w:cs="Times New Roman"/>
          <w:bCs/>
          <w:sz w:val="24"/>
          <w:szCs w:val="24"/>
        </w:rPr>
        <w:t>A</w:t>
      </w:r>
      <w:r w:rsidRPr="00CC41AD">
        <w:rPr>
          <w:rFonts w:ascii="Times New Roman" w:hAnsi="Times New Roman" w:cs="Times New Roman"/>
          <w:bCs/>
          <w:sz w:val="24"/>
          <w:szCs w:val="24"/>
        </w:rPr>
        <w:t xml:space="preserve"> </w:t>
      </w:r>
      <w:r w:rsidR="005A33B2" w:rsidRPr="00CC41AD">
        <w:rPr>
          <w:rFonts w:ascii="Times New Roman" w:hAnsi="Times New Roman" w:cs="Times New Roman"/>
          <w:bCs/>
          <w:sz w:val="24"/>
          <w:szCs w:val="24"/>
        </w:rPr>
        <w:t>PROMINA</w:t>
      </w:r>
    </w:p>
    <w:p w14:paraId="67987F6C" w14:textId="77777777" w:rsidR="00633CA5" w:rsidRPr="00A82021" w:rsidRDefault="00633CA5" w:rsidP="00A82021">
      <w:pPr>
        <w:spacing w:after="0"/>
        <w:ind w:left="4320" w:firstLine="720"/>
        <w:jc w:val="center"/>
        <w:rPr>
          <w:rFonts w:ascii="Times New Roman" w:hAnsi="Times New Roman" w:cs="Times New Roman"/>
          <w:b/>
          <w:sz w:val="24"/>
          <w:szCs w:val="24"/>
        </w:rPr>
      </w:pPr>
    </w:p>
    <w:p w14:paraId="605D4AF1" w14:textId="54B746BC" w:rsidR="00345145" w:rsidRPr="005A33B2" w:rsidRDefault="005A33B2" w:rsidP="00504944">
      <w:pPr>
        <w:spacing w:after="0"/>
        <w:ind w:left="5040" w:firstLine="720"/>
        <w:jc w:val="center"/>
        <w:rPr>
          <w:rFonts w:ascii="Times New Roman" w:hAnsi="Times New Roman" w:cs="Times New Roman"/>
          <w:bCs/>
          <w:sz w:val="24"/>
          <w:szCs w:val="24"/>
        </w:rPr>
      </w:pPr>
      <w:proofErr w:type="spellStart"/>
      <w:r w:rsidRPr="005A33B2">
        <w:rPr>
          <w:rFonts w:ascii="Times New Roman" w:hAnsi="Times New Roman" w:cs="Times New Roman"/>
          <w:bCs/>
          <w:sz w:val="24"/>
          <w:szCs w:val="24"/>
        </w:rPr>
        <w:t>Predsjednica</w:t>
      </w:r>
      <w:proofErr w:type="spellEnd"/>
      <w:r w:rsidRPr="005A33B2">
        <w:rPr>
          <w:rFonts w:ascii="Times New Roman" w:hAnsi="Times New Roman" w:cs="Times New Roman"/>
          <w:bCs/>
          <w:sz w:val="24"/>
          <w:szCs w:val="24"/>
        </w:rPr>
        <w:t>:</w:t>
      </w:r>
    </w:p>
    <w:p w14:paraId="030599C0" w14:textId="7AB955F3" w:rsidR="00FF0AC2" w:rsidRPr="005A33B2" w:rsidRDefault="00504944" w:rsidP="005A33B2">
      <w:pPr>
        <w:spacing w:after="0" w:line="240" w:lineRule="auto"/>
        <w:ind w:left="6480"/>
        <w:rPr>
          <w:rFonts w:ascii="Times New Roman" w:eastAsia="Times New Roman" w:hAnsi="Times New Roman" w:cs="Times New Roman"/>
          <w:bCs/>
          <w:sz w:val="24"/>
          <w:szCs w:val="24"/>
          <w:lang w:val="hr-HR"/>
        </w:rPr>
      </w:pPr>
      <w:r>
        <w:rPr>
          <w:rFonts w:ascii="Times New Roman" w:hAnsi="Times New Roman" w:cs="Times New Roman"/>
          <w:bCs/>
          <w:sz w:val="24"/>
          <w:szCs w:val="24"/>
        </w:rPr>
        <w:t xml:space="preserve">       </w:t>
      </w:r>
      <w:r w:rsidR="005A33B2" w:rsidRPr="005A33B2">
        <w:rPr>
          <w:rFonts w:ascii="Times New Roman" w:hAnsi="Times New Roman" w:cs="Times New Roman"/>
          <w:bCs/>
          <w:sz w:val="24"/>
          <w:szCs w:val="24"/>
        </w:rPr>
        <w:t xml:space="preserve"> </w:t>
      </w:r>
      <w:r w:rsidR="005A33B2">
        <w:rPr>
          <w:rFonts w:ascii="Times New Roman" w:hAnsi="Times New Roman" w:cs="Times New Roman"/>
          <w:bCs/>
          <w:sz w:val="24"/>
          <w:szCs w:val="24"/>
        </w:rPr>
        <w:t xml:space="preserve"> </w:t>
      </w:r>
      <w:r w:rsidR="005A33B2" w:rsidRPr="005A33B2">
        <w:rPr>
          <w:rFonts w:ascii="Times New Roman" w:hAnsi="Times New Roman" w:cs="Times New Roman"/>
          <w:bCs/>
          <w:sz w:val="24"/>
          <w:szCs w:val="24"/>
        </w:rPr>
        <w:t>Davorka Bronić</w:t>
      </w:r>
    </w:p>
    <w:sectPr w:rsidR="00FF0AC2" w:rsidRPr="005A33B2" w:rsidSect="0030023A">
      <w:pgSz w:w="12240" w:h="15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86DCB" w14:textId="77777777" w:rsidR="006270D3" w:rsidRDefault="006270D3" w:rsidP="004B4E7C">
      <w:pPr>
        <w:spacing w:after="0" w:line="240" w:lineRule="auto"/>
      </w:pPr>
      <w:r>
        <w:separator/>
      </w:r>
    </w:p>
  </w:endnote>
  <w:endnote w:type="continuationSeparator" w:id="0">
    <w:p w14:paraId="1D17D969" w14:textId="77777777" w:rsidR="006270D3" w:rsidRDefault="006270D3" w:rsidP="004B4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T2E6o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77CE1" w14:textId="77777777" w:rsidR="006270D3" w:rsidRDefault="006270D3" w:rsidP="004B4E7C">
      <w:pPr>
        <w:spacing w:after="0" w:line="240" w:lineRule="auto"/>
      </w:pPr>
      <w:r>
        <w:separator/>
      </w:r>
    </w:p>
  </w:footnote>
  <w:footnote w:type="continuationSeparator" w:id="0">
    <w:p w14:paraId="406CB257" w14:textId="77777777" w:rsidR="006270D3" w:rsidRDefault="006270D3" w:rsidP="004B4E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E5E36"/>
    <w:multiLevelType w:val="hybridMultilevel"/>
    <w:tmpl w:val="39A005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65972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C2"/>
    <w:rsid w:val="00024364"/>
    <w:rsid w:val="00080860"/>
    <w:rsid w:val="000823FF"/>
    <w:rsid w:val="000E0B3B"/>
    <w:rsid w:val="000E32FF"/>
    <w:rsid w:val="000F073C"/>
    <w:rsid w:val="001000E4"/>
    <w:rsid w:val="00115FD8"/>
    <w:rsid w:val="00116EBD"/>
    <w:rsid w:val="00132E7F"/>
    <w:rsid w:val="001C5BEC"/>
    <w:rsid w:val="0030023A"/>
    <w:rsid w:val="0033396F"/>
    <w:rsid w:val="00344C5F"/>
    <w:rsid w:val="00345145"/>
    <w:rsid w:val="00371428"/>
    <w:rsid w:val="00371D9A"/>
    <w:rsid w:val="003B7C95"/>
    <w:rsid w:val="00407D9D"/>
    <w:rsid w:val="00457A76"/>
    <w:rsid w:val="004A3C81"/>
    <w:rsid w:val="004A7D52"/>
    <w:rsid w:val="004B4E7C"/>
    <w:rsid w:val="004B6D8A"/>
    <w:rsid w:val="004B7722"/>
    <w:rsid w:val="004E5F90"/>
    <w:rsid w:val="004E687C"/>
    <w:rsid w:val="00504944"/>
    <w:rsid w:val="0055142C"/>
    <w:rsid w:val="00585405"/>
    <w:rsid w:val="00585DFC"/>
    <w:rsid w:val="00594768"/>
    <w:rsid w:val="005A33B2"/>
    <w:rsid w:val="005A6F28"/>
    <w:rsid w:val="005C79C6"/>
    <w:rsid w:val="006270D3"/>
    <w:rsid w:val="00633CA5"/>
    <w:rsid w:val="00657F6A"/>
    <w:rsid w:val="00690525"/>
    <w:rsid w:val="006A3D8C"/>
    <w:rsid w:val="006D13F7"/>
    <w:rsid w:val="006F0166"/>
    <w:rsid w:val="006F3EA4"/>
    <w:rsid w:val="00734D52"/>
    <w:rsid w:val="0079207F"/>
    <w:rsid w:val="007A4C56"/>
    <w:rsid w:val="007B5DF4"/>
    <w:rsid w:val="007E26EB"/>
    <w:rsid w:val="007E5FC9"/>
    <w:rsid w:val="00826C6D"/>
    <w:rsid w:val="00851BC6"/>
    <w:rsid w:val="009045DA"/>
    <w:rsid w:val="0091167C"/>
    <w:rsid w:val="009466D0"/>
    <w:rsid w:val="00957CE4"/>
    <w:rsid w:val="009E20C0"/>
    <w:rsid w:val="009F6564"/>
    <w:rsid w:val="00A56FC5"/>
    <w:rsid w:val="00A82021"/>
    <w:rsid w:val="00A87B08"/>
    <w:rsid w:val="00AA2319"/>
    <w:rsid w:val="00AB4BCB"/>
    <w:rsid w:val="00AD78B4"/>
    <w:rsid w:val="00AE330B"/>
    <w:rsid w:val="00B04EF6"/>
    <w:rsid w:val="00B22CDF"/>
    <w:rsid w:val="00B44290"/>
    <w:rsid w:val="00B6611A"/>
    <w:rsid w:val="00BB68AF"/>
    <w:rsid w:val="00BD196A"/>
    <w:rsid w:val="00C15D49"/>
    <w:rsid w:val="00C313F3"/>
    <w:rsid w:val="00C72C27"/>
    <w:rsid w:val="00C743D1"/>
    <w:rsid w:val="00CC41AD"/>
    <w:rsid w:val="00CD12C4"/>
    <w:rsid w:val="00CD4C1F"/>
    <w:rsid w:val="00CF7D66"/>
    <w:rsid w:val="00D05912"/>
    <w:rsid w:val="00D07F64"/>
    <w:rsid w:val="00D30822"/>
    <w:rsid w:val="00D5248F"/>
    <w:rsid w:val="00D52901"/>
    <w:rsid w:val="00D66904"/>
    <w:rsid w:val="00D85854"/>
    <w:rsid w:val="00DE6FE1"/>
    <w:rsid w:val="00E32000"/>
    <w:rsid w:val="00E73B29"/>
    <w:rsid w:val="00E93A88"/>
    <w:rsid w:val="00EB66FB"/>
    <w:rsid w:val="00EC19F8"/>
    <w:rsid w:val="00EC41CF"/>
    <w:rsid w:val="00EE7D94"/>
    <w:rsid w:val="00F36852"/>
    <w:rsid w:val="00F520F7"/>
    <w:rsid w:val="00FB4D37"/>
    <w:rsid w:val="00FD14A6"/>
    <w:rsid w:val="00FE5965"/>
    <w:rsid w:val="00FF0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E61E"/>
  <w15:docId w15:val="{1334B6FD-3CD6-4C59-A245-72CDD380C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52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345145"/>
    <w:pPr>
      <w:suppressAutoHyphens/>
      <w:spacing w:after="120" w:line="240" w:lineRule="auto"/>
    </w:pPr>
    <w:rPr>
      <w:rFonts w:ascii="Times New Roman" w:eastAsia="Times New Roman" w:hAnsi="Times New Roman" w:cs="Times New Roman"/>
      <w:sz w:val="24"/>
      <w:szCs w:val="24"/>
      <w:lang w:val="hr-BA" w:eastAsia="ar-SA"/>
    </w:rPr>
  </w:style>
  <w:style w:type="character" w:customStyle="1" w:styleId="TijelotekstaChar">
    <w:name w:val="Tijelo teksta Char"/>
    <w:basedOn w:val="Zadanifontodlomka"/>
    <w:link w:val="Tijeloteksta"/>
    <w:rsid w:val="00345145"/>
    <w:rPr>
      <w:rFonts w:ascii="Times New Roman" w:eastAsia="Times New Roman" w:hAnsi="Times New Roman" w:cs="Times New Roman"/>
      <w:sz w:val="24"/>
      <w:szCs w:val="24"/>
      <w:lang w:val="hr-BA" w:eastAsia="ar-SA"/>
    </w:rPr>
  </w:style>
  <w:style w:type="paragraph" w:styleId="Zaglavlje">
    <w:name w:val="header"/>
    <w:basedOn w:val="Normal"/>
    <w:link w:val="ZaglavljeChar"/>
    <w:uiPriority w:val="99"/>
    <w:unhideWhenUsed/>
    <w:rsid w:val="004B4E7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B4E7C"/>
  </w:style>
  <w:style w:type="paragraph" w:styleId="Podnoje">
    <w:name w:val="footer"/>
    <w:basedOn w:val="Normal"/>
    <w:link w:val="PodnojeChar"/>
    <w:uiPriority w:val="99"/>
    <w:unhideWhenUsed/>
    <w:rsid w:val="004B4E7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B4E7C"/>
  </w:style>
  <w:style w:type="table" w:styleId="Reetkatablice">
    <w:name w:val="Table Grid"/>
    <w:basedOn w:val="Obinatablica"/>
    <w:uiPriority w:val="59"/>
    <w:rsid w:val="0082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585405"/>
    <w:pPr>
      <w:ind w:left="720"/>
      <w:contextualSpacing/>
    </w:pPr>
  </w:style>
  <w:style w:type="paragraph" w:customStyle="1" w:styleId="Default">
    <w:name w:val="Default"/>
    <w:rsid w:val="006F3EA4"/>
    <w:pPr>
      <w:autoSpaceDE w:val="0"/>
      <w:autoSpaceDN w:val="0"/>
      <w:adjustRightInd w:val="0"/>
      <w:spacing w:after="0" w:line="240" w:lineRule="auto"/>
    </w:pPr>
    <w:rPr>
      <w:rFonts w:ascii="Times New Roman" w:hAnsi="Times New Roman" w:cs="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267718">
      <w:bodyDiv w:val="1"/>
      <w:marLeft w:val="0"/>
      <w:marRight w:val="0"/>
      <w:marTop w:val="0"/>
      <w:marBottom w:val="0"/>
      <w:divBdr>
        <w:top w:val="none" w:sz="0" w:space="0" w:color="auto"/>
        <w:left w:val="none" w:sz="0" w:space="0" w:color="auto"/>
        <w:bottom w:val="none" w:sz="0" w:space="0" w:color="auto"/>
        <w:right w:val="none" w:sz="0" w:space="0" w:color="auto"/>
      </w:divBdr>
    </w:div>
    <w:div w:id="1438018743">
      <w:bodyDiv w:val="1"/>
      <w:marLeft w:val="0"/>
      <w:marRight w:val="0"/>
      <w:marTop w:val="0"/>
      <w:marBottom w:val="0"/>
      <w:divBdr>
        <w:top w:val="none" w:sz="0" w:space="0" w:color="auto"/>
        <w:left w:val="none" w:sz="0" w:space="0" w:color="auto"/>
        <w:bottom w:val="none" w:sz="0" w:space="0" w:color="auto"/>
        <w:right w:val="none" w:sz="0" w:space="0" w:color="auto"/>
      </w:divBdr>
      <w:divsChild>
        <w:div w:id="1223373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DA207-81CC-40BD-8D5D-756224CB1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335</Words>
  <Characters>1916</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Ana Maria Vukušić</cp:lastModifiedBy>
  <cp:revision>43</cp:revision>
  <cp:lastPrinted>2024-06-04T06:54:00Z</cp:lastPrinted>
  <dcterms:created xsi:type="dcterms:W3CDTF">2023-10-06T12:39:00Z</dcterms:created>
  <dcterms:modified xsi:type="dcterms:W3CDTF">2024-06-04T06:54:00Z</dcterms:modified>
</cp:coreProperties>
</file>