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0F547" w14:textId="0C67DFFB" w:rsidR="00431EDE" w:rsidRPr="000E6CAF" w:rsidRDefault="00431EDE" w:rsidP="00431E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0E6CAF">
        <w:rPr>
          <w:rFonts w:cstheme="minorHAnsi"/>
          <w:b/>
          <w:bCs/>
          <w:sz w:val="26"/>
          <w:szCs w:val="26"/>
        </w:rPr>
        <w:t xml:space="preserve">Obrazloženje uz prijedlog </w:t>
      </w:r>
      <w:r w:rsidR="0012587D" w:rsidRPr="000E6CAF">
        <w:rPr>
          <w:rFonts w:cstheme="minorHAnsi"/>
          <w:b/>
          <w:bCs/>
          <w:sz w:val="26"/>
          <w:szCs w:val="26"/>
        </w:rPr>
        <w:t>Polugodišnjeg izvještaja o izvršenju proračuna Općine Promina za 202</w:t>
      </w:r>
      <w:r w:rsidR="00BD30C4">
        <w:rPr>
          <w:rFonts w:cstheme="minorHAnsi"/>
          <w:b/>
          <w:bCs/>
          <w:sz w:val="26"/>
          <w:szCs w:val="26"/>
        </w:rPr>
        <w:t>3</w:t>
      </w:r>
      <w:r w:rsidR="0012587D" w:rsidRPr="000E6CAF">
        <w:rPr>
          <w:rFonts w:cstheme="minorHAnsi"/>
          <w:b/>
          <w:bCs/>
          <w:sz w:val="26"/>
          <w:szCs w:val="26"/>
        </w:rPr>
        <w:t>. godinu</w:t>
      </w:r>
    </w:p>
    <w:p w14:paraId="1A5E92DE" w14:textId="77777777" w:rsidR="00431EDE" w:rsidRPr="000E6CA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34FBAE" w14:textId="77777777" w:rsidR="00431EDE" w:rsidRPr="000E6CA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0A8226B" w14:textId="77777777" w:rsidR="00431EDE" w:rsidRPr="000E6CA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0E6CAF">
        <w:rPr>
          <w:rFonts w:cstheme="minorHAnsi"/>
          <w:b/>
          <w:bCs/>
          <w:u w:val="single"/>
        </w:rPr>
        <w:t xml:space="preserve"> 1. UVOD</w:t>
      </w:r>
    </w:p>
    <w:p w14:paraId="0D3D4568" w14:textId="77777777" w:rsidR="00431EDE" w:rsidRPr="000E6CA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9C54CB" w14:textId="44CE716D" w:rsidR="00431EDE" w:rsidRPr="000E6CAF" w:rsidRDefault="00013ADD" w:rsidP="00A055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6CAF">
        <w:rPr>
          <w:rFonts w:cstheme="minorHAnsi"/>
        </w:rPr>
        <w:t>Temeljem</w:t>
      </w:r>
      <w:r w:rsidR="00431EDE" w:rsidRPr="000E6CAF">
        <w:rPr>
          <w:rFonts w:cstheme="minorHAnsi"/>
        </w:rPr>
        <w:t xml:space="preserve"> članka </w:t>
      </w:r>
      <w:r w:rsidR="000E6CAF" w:rsidRPr="000E6CAF">
        <w:rPr>
          <w:rFonts w:cstheme="minorHAnsi"/>
        </w:rPr>
        <w:t>88</w:t>
      </w:r>
      <w:r w:rsidR="00431EDE" w:rsidRPr="000E6CAF">
        <w:rPr>
          <w:rFonts w:cstheme="minorHAnsi"/>
        </w:rPr>
        <w:t xml:space="preserve">. </w:t>
      </w:r>
      <w:r w:rsidR="000C11FD" w:rsidRPr="000E6CAF">
        <w:rPr>
          <w:rFonts w:cstheme="minorHAnsi"/>
        </w:rPr>
        <w:t xml:space="preserve">stavak </w:t>
      </w:r>
      <w:r w:rsidR="0012587D" w:rsidRPr="000E6CAF">
        <w:rPr>
          <w:rFonts w:cstheme="minorHAnsi"/>
        </w:rPr>
        <w:t>2.</w:t>
      </w:r>
      <w:r w:rsidR="000C11FD" w:rsidRPr="000E6CAF">
        <w:rPr>
          <w:rFonts w:cstheme="minorHAnsi"/>
        </w:rPr>
        <w:t xml:space="preserve"> </w:t>
      </w:r>
      <w:r w:rsidR="00431EDE" w:rsidRPr="000E6CAF">
        <w:rPr>
          <w:rFonts w:cstheme="minorHAnsi"/>
        </w:rPr>
        <w:t>Zakona o proračunu (N</w:t>
      </w:r>
      <w:r w:rsidR="003E034B" w:rsidRPr="000E6CAF">
        <w:rPr>
          <w:rFonts w:cstheme="minorHAnsi"/>
        </w:rPr>
        <w:t>N</w:t>
      </w:r>
      <w:r w:rsidR="00431EDE" w:rsidRPr="000E6CAF">
        <w:rPr>
          <w:rFonts w:cstheme="minorHAnsi"/>
        </w:rPr>
        <w:t xml:space="preserve"> </w:t>
      </w:r>
      <w:r w:rsidR="000E6CAF" w:rsidRPr="000E6CAF">
        <w:rPr>
          <w:rFonts w:cstheme="minorHAnsi"/>
        </w:rPr>
        <w:t>144/21</w:t>
      </w:r>
      <w:r w:rsidR="00431EDE" w:rsidRPr="000E6CAF">
        <w:rPr>
          <w:rFonts w:cstheme="minorHAnsi"/>
        </w:rPr>
        <w:t>),</w:t>
      </w:r>
      <w:r w:rsidR="000C11FD" w:rsidRPr="000E6CAF">
        <w:rPr>
          <w:rFonts w:cstheme="minorHAnsi"/>
        </w:rPr>
        <w:t xml:space="preserve"> </w:t>
      </w:r>
      <w:r w:rsidR="0012587D" w:rsidRPr="000E6CAF">
        <w:rPr>
          <w:rFonts w:cstheme="minorHAnsi"/>
        </w:rPr>
        <w:t xml:space="preserve">načelnik podnosi prijedlog polugodišnjeg izvještaja o izvršenju proračuna predstavničkom tijelu najkasnije od </w:t>
      </w:r>
      <w:r w:rsidR="000E6CAF" w:rsidRPr="000E6CAF">
        <w:rPr>
          <w:rFonts w:cstheme="minorHAnsi"/>
        </w:rPr>
        <w:t>30</w:t>
      </w:r>
      <w:r w:rsidR="0012587D" w:rsidRPr="000E6CAF">
        <w:rPr>
          <w:rFonts w:cstheme="minorHAnsi"/>
        </w:rPr>
        <w:t>. rujna tekuće proračunske godine</w:t>
      </w:r>
      <w:r w:rsidR="00431EDE" w:rsidRPr="000E6CAF">
        <w:rPr>
          <w:rFonts w:cstheme="minorHAnsi"/>
        </w:rPr>
        <w:t xml:space="preserve">. Prijedlog </w:t>
      </w:r>
      <w:r w:rsidR="0012587D" w:rsidRPr="000E6CAF">
        <w:rPr>
          <w:rFonts w:cstheme="minorHAnsi"/>
        </w:rPr>
        <w:t>Polugodišnjeg izvještaja o izvršenju proračuna</w:t>
      </w:r>
      <w:r w:rsidR="00431EDE" w:rsidRPr="000E6CAF">
        <w:rPr>
          <w:rFonts w:cstheme="minorHAnsi"/>
        </w:rPr>
        <w:t xml:space="preserve"> </w:t>
      </w:r>
      <w:r w:rsidR="003E034B" w:rsidRPr="000E6CAF">
        <w:rPr>
          <w:rFonts w:cstheme="minorHAnsi"/>
        </w:rPr>
        <w:t>Općine Promina</w:t>
      </w:r>
      <w:r w:rsidR="00431EDE" w:rsidRPr="000E6CAF">
        <w:rPr>
          <w:rFonts w:cstheme="minorHAnsi"/>
        </w:rPr>
        <w:t xml:space="preserve"> za </w:t>
      </w:r>
      <w:r w:rsidR="000E6CAF">
        <w:rPr>
          <w:rFonts w:cstheme="minorHAnsi"/>
        </w:rPr>
        <w:t>202</w:t>
      </w:r>
      <w:r w:rsidR="00BD30C4">
        <w:rPr>
          <w:rFonts w:cstheme="minorHAnsi"/>
        </w:rPr>
        <w:t>3</w:t>
      </w:r>
      <w:r w:rsidR="00431EDE" w:rsidRPr="000E6CAF">
        <w:rPr>
          <w:rFonts w:cstheme="minorHAnsi"/>
        </w:rPr>
        <w:t xml:space="preserve">. godinu izrađen je na temelju Zakona o proračunu (NN </w:t>
      </w:r>
      <w:r w:rsidR="000E6CAF" w:rsidRPr="000E6CAF">
        <w:rPr>
          <w:rFonts w:cstheme="minorHAnsi"/>
        </w:rPr>
        <w:t>144/21</w:t>
      </w:r>
      <w:r w:rsidR="00431EDE" w:rsidRPr="000E6CAF">
        <w:rPr>
          <w:rFonts w:cstheme="minorHAnsi"/>
        </w:rPr>
        <w:t>)</w:t>
      </w:r>
      <w:r w:rsidR="0012587D" w:rsidRPr="000E6CAF">
        <w:rPr>
          <w:rFonts w:cstheme="minorHAnsi"/>
        </w:rPr>
        <w:t>.</w:t>
      </w:r>
    </w:p>
    <w:p w14:paraId="426D9117" w14:textId="66FE6031" w:rsidR="00431EDE" w:rsidRPr="000E6CAF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6CAF">
        <w:rPr>
          <w:rFonts w:cstheme="minorHAnsi"/>
        </w:rPr>
        <w:t>Člankom 1</w:t>
      </w:r>
      <w:r w:rsidR="000E6CAF" w:rsidRPr="000E6CAF">
        <w:rPr>
          <w:rFonts w:cstheme="minorHAnsi"/>
        </w:rPr>
        <w:t>5</w:t>
      </w:r>
      <w:r w:rsidRPr="000E6CAF">
        <w:rPr>
          <w:rFonts w:cstheme="minorHAnsi"/>
        </w:rPr>
        <w:t>. Zakona o proračunu propisano je jedno od ključnih proračunskih načela – načelo transparentnosti. Načelo transparentnosti iznimno je važno zbog uvida javnosti svih zainteresiranih u način trošenja proračunskih sredstava</w:t>
      </w:r>
      <w:r w:rsidR="003E034B" w:rsidRPr="000E6CAF">
        <w:rPr>
          <w:rFonts w:cstheme="minorHAnsi"/>
        </w:rPr>
        <w:t>.</w:t>
      </w:r>
    </w:p>
    <w:p w14:paraId="0063F2AF" w14:textId="77777777" w:rsidR="00431EDE" w:rsidRPr="000E6CAF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561C718" w14:textId="712C8AFC" w:rsidR="000D6088" w:rsidRPr="00A814F6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A814F6">
        <w:rPr>
          <w:rFonts w:cstheme="minorHAnsi"/>
          <w:b/>
          <w:bCs/>
          <w:u w:val="single"/>
        </w:rPr>
        <w:t xml:space="preserve">2. OBRAZLOŽENJE </w:t>
      </w:r>
      <w:r w:rsidR="006A5D07" w:rsidRPr="00A814F6">
        <w:rPr>
          <w:rFonts w:cstheme="minorHAnsi"/>
          <w:b/>
          <w:bCs/>
          <w:u w:val="single"/>
        </w:rPr>
        <w:t>REALIZACIJE</w:t>
      </w:r>
      <w:r w:rsidR="000D6088" w:rsidRPr="00A814F6">
        <w:rPr>
          <w:rFonts w:cstheme="minorHAnsi"/>
          <w:b/>
          <w:bCs/>
          <w:u w:val="single"/>
        </w:rPr>
        <w:t xml:space="preserve"> </w:t>
      </w:r>
      <w:r w:rsidRPr="00A814F6">
        <w:rPr>
          <w:rFonts w:cstheme="minorHAnsi"/>
          <w:b/>
          <w:bCs/>
          <w:u w:val="single"/>
        </w:rPr>
        <w:t>PLANIRANIH PRIHODA/PRIMITAKA,</w:t>
      </w:r>
      <w:r w:rsidR="003E034B" w:rsidRPr="00A814F6">
        <w:rPr>
          <w:rFonts w:cstheme="minorHAnsi"/>
          <w:b/>
          <w:bCs/>
          <w:u w:val="single"/>
        </w:rPr>
        <w:t xml:space="preserve"> </w:t>
      </w:r>
      <w:r w:rsidRPr="00A814F6">
        <w:rPr>
          <w:rFonts w:cstheme="minorHAnsi"/>
          <w:b/>
          <w:bCs/>
          <w:u w:val="single"/>
        </w:rPr>
        <w:t xml:space="preserve">RASHODA/IZDATAKA PRORAČUNA </w:t>
      </w:r>
      <w:r w:rsidR="000D6088" w:rsidRPr="00A814F6">
        <w:rPr>
          <w:rFonts w:cstheme="minorHAnsi"/>
          <w:b/>
          <w:bCs/>
          <w:u w:val="single"/>
        </w:rPr>
        <w:t xml:space="preserve"> </w:t>
      </w:r>
    </w:p>
    <w:p w14:paraId="631F9AF1" w14:textId="5E06A776" w:rsidR="00431EDE" w:rsidRPr="00A814F6" w:rsidRDefault="000D6088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A814F6">
        <w:rPr>
          <w:rFonts w:cstheme="minorHAnsi"/>
          <w:b/>
          <w:bCs/>
        </w:rPr>
        <w:t xml:space="preserve">    </w:t>
      </w:r>
      <w:r w:rsidR="003E034B" w:rsidRPr="00A814F6">
        <w:rPr>
          <w:rFonts w:cstheme="minorHAnsi"/>
          <w:b/>
          <w:bCs/>
          <w:u w:val="single"/>
        </w:rPr>
        <w:t>OPĆINE PROMINA</w:t>
      </w:r>
      <w:r w:rsidR="00431EDE" w:rsidRPr="00A814F6">
        <w:rPr>
          <w:rFonts w:cstheme="minorHAnsi"/>
          <w:b/>
          <w:bCs/>
          <w:u w:val="single"/>
        </w:rPr>
        <w:t xml:space="preserve"> ZA 202</w:t>
      </w:r>
      <w:r w:rsidR="00632FAA">
        <w:rPr>
          <w:rFonts w:cstheme="minorHAnsi"/>
          <w:b/>
          <w:bCs/>
          <w:u w:val="single"/>
        </w:rPr>
        <w:t>3</w:t>
      </w:r>
      <w:r w:rsidR="00431EDE" w:rsidRPr="00A814F6">
        <w:rPr>
          <w:rFonts w:cstheme="minorHAnsi"/>
          <w:b/>
          <w:bCs/>
          <w:u w:val="single"/>
        </w:rPr>
        <w:t>. GODINU</w:t>
      </w:r>
    </w:p>
    <w:p w14:paraId="4E87F2BD" w14:textId="77777777" w:rsidR="00431EDE" w:rsidRPr="00A814F6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814F6">
        <w:rPr>
          <w:rFonts w:cstheme="minorHAnsi"/>
          <w:b/>
          <w:bCs/>
        </w:rPr>
        <w:t xml:space="preserve">  </w:t>
      </w:r>
    </w:p>
    <w:p w14:paraId="50780AE2" w14:textId="77777777" w:rsidR="00431EDE" w:rsidRPr="00A814F6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A814F6">
        <w:rPr>
          <w:rFonts w:cstheme="minorHAnsi"/>
          <w:b/>
          <w:bCs/>
        </w:rPr>
        <w:t>2.1. PRIHODI I PRIMICI PRORAČUNA</w:t>
      </w:r>
    </w:p>
    <w:p w14:paraId="28467238" w14:textId="77777777" w:rsidR="00431EDE" w:rsidRPr="00A814F6" w:rsidRDefault="00431EDE" w:rsidP="00557C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1989A52" w14:textId="7FD8DBB2" w:rsidR="0012587D" w:rsidRPr="00A814F6" w:rsidRDefault="00431EDE" w:rsidP="00A055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814F6">
        <w:rPr>
          <w:rFonts w:cstheme="minorHAnsi"/>
        </w:rPr>
        <w:t xml:space="preserve">Ukupni prihodi i primici </w:t>
      </w:r>
      <w:r w:rsidR="00A165E7" w:rsidRPr="00A814F6">
        <w:rPr>
          <w:rFonts w:cstheme="minorHAnsi"/>
        </w:rPr>
        <w:t>p</w:t>
      </w:r>
      <w:r w:rsidRPr="00A814F6">
        <w:rPr>
          <w:rFonts w:cstheme="minorHAnsi"/>
        </w:rPr>
        <w:t xml:space="preserve">roračuna </w:t>
      </w:r>
      <w:r w:rsidR="00A165E7" w:rsidRPr="00A814F6">
        <w:rPr>
          <w:rFonts w:cstheme="minorHAnsi"/>
        </w:rPr>
        <w:t>Općine Promina</w:t>
      </w:r>
      <w:r w:rsidRPr="00A814F6">
        <w:rPr>
          <w:rFonts w:cstheme="minorHAnsi"/>
        </w:rPr>
        <w:t xml:space="preserve"> </w:t>
      </w:r>
      <w:r w:rsidR="0012587D" w:rsidRPr="00A814F6">
        <w:rPr>
          <w:rFonts w:cstheme="minorHAnsi"/>
        </w:rPr>
        <w:t xml:space="preserve">do 30. lipnja </w:t>
      </w:r>
      <w:r w:rsidRPr="00A814F6">
        <w:rPr>
          <w:rFonts w:cstheme="minorHAnsi"/>
        </w:rPr>
        <w:t>202</w:t>
      </w:r>
      <w:r w:rsidR="00ED58F9">
        <w:rPr>
          <w:rFonts w:cstheme="minorHAnsi"/>
        </w:rPr>
        <w:t>3</w:t>
      </w:r>
      <w:r w:rsidRPr="00A814F6">
        <w:rPr>
          <w:rFonts w:cstheme="minorHAnsi"/>
        </w:rPr>
        <w:t>. godin</w:t>
      </w:r>
      <w:r w:rsidR="0012587D" w:rsidRPr="00A814F6">
        <w:rPr>
          <w:rFonts w:cstheme="minorHAnsi"/>
        </w:rPr>
        <w:t>e ostvareni su u iznosu od</w:t>
      </w:r>
      <w:r w:rsidRPr="00A814F6">
        <w:rPr>
          <w:rFonts w:cstheme="minorHAnsi"/>
        </w:rPr>
        <w:t xml:space="preserve"> </w:t>
      </w:r>
      <w:r w:rsidR="00ED58F9">
        <w:rPr>
          <w:rFonts w:cstheme="minorHAnsi"/>
        </w:rPr>
        <w:t>534.834,36 €</w:t>
      </w:r>
      <w:r w:rsidR="0012587D" w:rsidRPr="00A814F6">
        <w:rPr>
          <w:rFonts w:cstheme="minorHAnsi"/>
        </w:rPr>
        <w:t xml:space="preserve">, odnosno </w:t>
      </w:r>
      <w:r w:rsidR="00ED58F9">
        <w:rPr>
          <w:rFonts w:cstheme="minorHAnsi"/>
        </w:rPr>
        <w:t xml:space="preserve">30,59 </w:t>
      </w:r>
      <w:r w:rsidR="0012587D" w:rsidRPr="00A814F6">
        <w:rPr>
          <w:rFonts w:cstheme="minorHAnsi"/>
        </w:rPr>
        <w:t>% od planiranog</w:t>
      </w:r>
      <w:r w:rsidRPr="00A814F6">
        <w:rPr>
          <w:rFonts w:cstheme="minorHAnsi"/>
        </w:rPr>
        <w:t>.</w:t>
      </w:r>
    </w:p>
    <w:p w14:paraId="46651CAC" w14:textId="1CC1A841" w:rsidR="00431EDE" w:rsidRPr="00A814F6" w:rsidRDefault="0012587D" w:rsidP="00A055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814F6">
        <w:rPr>
          <w:rFonts w:cstheme="minorHAnsi"/>
        </w:rPr>
        <w:t>Postotak ostvarenja je ni</w:t>
      </w:r>
      <w:r w:rsidR="00BC14D7">
        <w:rPr>
          <w:rFonts w:cstheme="minorHAnsi"/>
        </w:rPr>
        <w:t>ži</w:t>
      </w:r>
      <w:r w:rsidRPr="00A814F6">
        <w:rPr>
          <w:rFonts w:cstheme="minorHAnsi"/>
        </w:rPr>
        <w:t xml:space="preserve">, kao i svake godine, </w:t>
      </w:r>
      <w:r w:rsidR="00BC14D7">
        <w:rPr>
          <w:rFonts w:cstheme="minorHAnsi"/>
        </w:rPr>
        <w:t>jer</w:t>
      </w:r>
      <w:r w:rsidRPr="00A814F6">
        <w:rPr>
          <w:rFonts w:cstheme="minorHAnsi"/>
        </w:rPr>
        <w:t xml:space="preserve"> se veći dio proračuna Općine Promina realizira u drugoj polovici godine.</w:t>
      </w:r>
      <w:r w:rsidR="00431EDE" w:rsidRPr="00A814F6">
        <w:rPr>
          <w:rFonts w:cstheme="minorHAnsi"/>
        </w:rPr>
        <w:t xml:space="preserve"> </w:t>
      </w:r>
    </w:p>
    <w:p w14:paraId="3009C701" w14:textId="67EC5377" w:rsidR="0012587D" w:rsidRPr="00A814F6" w:rsidRDefault="00431EDE" w:rsidP="00A055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814F6">
        <w:rPr>
          <w:rFonts w:cstheme="minorHAnsi"/>
        </w:rPr>
        <w:t xml:space="preserve">Ukupni rashodi i izdaci </w:t>
      </w:r>
      <w:r w:rsidR="00A165E7" w:rsidRPr="00A814F6">
        <w:rPr>
          <w:rFonts w:cstheme="minorHAnsi"/>
        </w:rPr>
        <w:t>p</w:t>
      </w:r>
      <w:r w:rsidRPr="00A814F6">
        <w:rPr>
          <w:rFonts w:cstheme="minorHAnsi"/>
        </w:rPr>
        <w:t xml:space="preserve">roračuna </w:t>
      </w:r>
      <w:r w:rsidR="00A165E7" w:rsidRPr="00A814F6">
        <w:rPr>
          <w:rFonts w:cstheme="minorHAnsi"/>
        </w:rPr>
        <w:t>Općine Promina</w:t>
      </w:r>
      <w:r w:rsidRPr="00A814F6">
        <w:rPr>
          <w:rFonts w:cstheme="minorHAnsi"/>
        </w:rPr>
        <w:t xml:space="preserve"> </w:t>
      </w:r>
      <w:r w:rsidR="0012587D" w:rsidRPr="00A814F6">
        <w:rPr>
          <w:rFonts w:cstheme="minorHAnsi"/>
        </w:rPr>
        <w:t xml:space="preserve">do 30. lipnja </w:t>
      </w:r>
      <w:r w:rsidR="000E6CAF" w:rsidRPr="00A814F6">
        <w:rPr>
          <w:rFonts w:cstheme="minorHAnsi"/>
        </w:rPr>
        <w:t>202</w:t>
      </w:r>
      <w:r w:rsidR="00BC14D7">
        <w:rPr>
          <w:rFonts w:cstheme="minorHAnsi"/>
        </w:rPr>
        <w:t>3</w:t>
      </w:r>
      <w:r w:rsidRPr="00A814F6">
        <w:rPr>
          <w:rFonts w:cstheme="minorHAnsi"/>
        </w:rPr>
        <w:t>. godin</w:t>
      </w:r>
      <w:r w:rsidR="0012587D" w:rsidRPr="00A814F6">
        <w:rPr>
          <w:rFonts w:cstheme="minorHAnsi"/>
        </w:rPr>
        <w:t>e</w:t>
      </w:r>
      <w:r w:rsidRPr="00A814F6">
        <w:rPr>
          <w:rFonts w:cstheme="minorHAnsi"/>
        </w:rPr>
        <w:t xml:space="preserve"> </w:t>
      </w:r>
      <w:r w:rsidR="0012587D" w:rsidRPr="00A814F6">
        <w:rPr>
          <w:rFonts w:cstheme="minorHAnsi"/>
        </w:rPr>
        <w:t>ostvareni su u iznosu</w:t>
      </w:r>
      <w:r w:rsidR="00BC14D7">
        <w:rPr>
          <w:rFonts w:cstheme="minorHAnsi"/>
        </w:rPr>
        <w:t xml:space="preserve"> 375.428,30 €</w:t>
      </w:r>
      <w:r w:rsidR="0012587D" w:rsidRPr="00A814F6">
        <w:rPr>
          <w:rFonts w:cstheme="minorHAnsi"/>
        </w:rPr>
        <w:t xml:space="preserve">, odnosno </w:t>
      </w:r>
      <w:r w:rsidR="00BC14D7">
        <w:rPr>
          <w:rFonts w:cstheme="minorHAnsi"/>
        </w:rPr>
        <w:t>24</w:t>
      </w:r>
      <w:r w:rsidR="0012587D" w:rsidRPr="00A814F6">
        <w:rPr>
          <w:rFonts w:cstheme="minorHAnsi"/>
        </w:rPr>
        <w:t>,</w:t>
      </w:r>
      <w:r w:rsidR="00BC14D7">
        <w:rPr>
          <w:rFonts w:cstheme="minorHAnsi"/>
        </w:rPr>
        <w:t xml:space="preserve">97 </w:t>
      </w:r>
      <w:r w:rsidR="0012587D" w:rsidRPr="00A814F6">
        <w:rPr>
          <w:rFonts w:cstheme="minorHAnsi"/>
        </w:rPr>
        <w:t>% od planiranog</w:t>
      </w:r>
      <w:r w:rsidRPr="00A814F6">
        <w:rPr>
          <w:rFonts w:cstheme="minorHAnsi"/>
        </w:rPr>
        <w:t>.</w:t>
      </w:r>
    </w:p>
    <w:p w14:paraId="02244703" w14:textId="7D80E1C5" w:rsidR="0012587D" w:rsidRPr="00A814F6" w:rsidRDefault="00BC14D7" w:rsidP="00A0559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Višak</w:t>
      </w:r>
      <w:r w:rsidR="0012587D" w:rsidRPr="00A814F6">
        <w:rPr>
          <w:rFonts w:cstheme="minorHAnsi"/>
        </w:rPr>
        <w:t xml:space="preserve"> prihoda nad rashodima u prvih 6 mjeseci </w:t>
      </w:r>
      <w:r w:rsidR="000E6CAF" w:rsidRPr="00A814F6">
        <w:rPr>
          <w:rFonts w:cstheme="minorHAnsi"/>
        </w:rPr>
        <w:t>202</w:t>
      </w:r>
      <w:r>
        <w:rPr>
          <w:rFonts w:cstheme="minorHAnsi"/>
        </w:rPr>
        <w:t>3</w:t>
      </w:r>
      <w:r w:rsidR="0012587D" w:rsidRPr="00A814F6">
        <w:rPr>
          <w:rFonts w:cstheme="minorHAnsi"/>
        </w:rPr>
        <w:t xml:space="preserve">. godine iznosio </w:t>
      </w:r>
      <w:r>
        <w:rPr>
          <w:rFonts w:cstheme="minorHAnsi"/>
        </w:rPr>
        <w:t>je 159.406,06 €</w:t>
      </w:r>
      <w:r w:rsidR="0012587D" w:rsidRPr="00A814F6">
        <w:rPr>
          <w:rFonts w:cstheme="minorHAnsi"/>
        </w:rPr>
        <w:t>.</w:t>
      </w:r>
    </w:p>
    <w:p w14:paraId="44C4E2CE" w14:textId="6A92816A" w:rsidR="00431EDE" w:rsidRPr="00A814F6" w:rsidRDefault="00431EDE" w:rsidP="00557C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03DD2D4" w14:textId="77777777" w:rsidR="00431EDE" w:rsidRPr="00A814F6" w:rsidRDefault="00431EDE" w:rsidP="00431EDE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cstheme="minorHAnsi"/>
          <w:b/>
          <w:bCs/>
        </w:rPr>
      </w:pPr>
      <w:r w:rsidRPr="00976A2D">
        <w:rPr>
          <w:rFonts w:cstheme="minorHAnsi"/>
          <w:b/>
          <w:bCs/>
        </w:rPr>
        <w:t>2.1.1. PRIHODI POSLOVANJA</w:t>
      </w:r>
    </w:p>
    <w:p w14:paraId="6ECDDF43" w14:textId="77777777" w:rsidR="00431EDE" w:rsidRPr="00557CAC" w:rsidRDefault="00431EDE" w:rsidP="001258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9A1DF8" w14:textId="68D3B349" w:rsidR="00431EDE" w:rsidRDefault="0012587D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57CAC">
        <w:rPr>
          <w:rFonts w:cstheme="minorHAnsi"/>
        </w:rPr>
        <w:t>Među prihodima poslovanja prihodi od poreza su</w:t>
      </w:r>
      <w:r w:rsidR="00617B6B" w:rsidRPr="00557CAC">
        <w:rPr>
          <w:rFonts w:cstheme="minorHAnsi"/>
        </w:rPr>
        <w:t xml:space="preserve"> ostvareni u iznosu od </w:t>
      </w:r>
      <w:r w:rsidR="005B7163">
        <w:rPr>
          <w:rFonts w:cstheme="minorHAnsi"/>
        </w:rPr>
        <w:t>84.489,52 €</w:t>
      </w:r>
      <w:r w:rsidR="00617B6B" w:rsidRPr="00557CAC">
        <w:rPr>
          <w:rFonts w:cstheme="minorHAnsi"/>
        </w:rPr>
        <w:t xml:space="preserve">, odnosno </w:t>
      </w:r>
      <w:r w:rsidR="005B7163">
        <w:rPr>
          <w:rFonts w:cstheme="minorHAnsi"/>
        </w:rPr>
        <w:t>73</w:t>
      </w:r>
      <w:r w:rsidR="00617B6B" w:rsidRPr="00557CAC">
        <w:rPr>
          <w:rFonts w:cstheme="minorHAnsi"/>
        </w:rPr>
        <w:t>,</w:t>
      </w:r>
      <w:r w:rsidR="00A814F6" w:rsidRPr="00557CAC">
        <w:rPr>
          <w:rFonts w:cstheme="minorHAnsi"/>
        </w:rPr>
        <w:t>0</w:t>
      </w:r>
      <w:r w:rsidR="005B7163">
        <w:rPr>
          <w:rFonts w:cstheme="minorHAnsi"/>
        </w:rPr>
        <w:t xml:space="preserve">8 </w:t>
      </w:r>
      <w:r w:rsidR="00617B6B" w:rsidRPr="00557CAC">
        <w:rPr>
          <w:rFonts w:cstheme="minorHAnsi"/>
        </w:rPr>
        <w:t>% planiranog.</w:t>
      </w:r>
    </w:p>
    <w:p w14:paraId="45BC4DEE" w14:textId="77777777" w:rsidR="00AF39B5" w:rsidRPr="00557CAC" w:rsidRDefault="00AF39B5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2F80046" w14:textId="77777777" w:rsidR="00703B97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57CAC">
        <w:rPr>
          <w:rFonts w:cstheme="minorHAnsi"/>
        </w:rPr>
        <w:t xml:space="preserve">Prihodi od potpora su realizirani u iznosu od </w:t>
      </w:r>
      <w:r w:rsidR="005B7163">
        <w:rPr>
          <w:rFonts w:cstheme="minorHAnsi"/>
        </w:rPr>
        <w:t>319.078,64 €</w:t>
      </w:r>
      <w:r w:rsidRPr="00557CAC">
        <w:rPr>
          <w:rFonts w:cstheme="minorHAnsi"/>
        </w:rPr>
        <w:t xml:space="preserve">, odnosno </w:t>
      </w:r>
      <w:r w:rsidR="005B7163">
        <w:rPr>
          <w:rFonts w:cstheme="minorHAnsi"/>
        </w:rPr>
        <w:t xml:space="preserve">31,15 </w:t>
      </w:r>
      <w:r w:rsidR="006A5D07" w:rsidRPr="00557CAC">
        <w:rPr>
          <w:rFonts w:cstheme="minorHAnsi"/>
        </w:rPr>
        <w:t>% planiranog</w:t>
      </w:r>
      <w:r w:rsidRPr="00557CAC">
        <w:rPr>
          <w:rFonts w:cstheme="minorHAnsi"/>
        </w:rPr>
        <w:t>.</w:t>
      </w:r>
      <w:r w:rsidR="00484C9E">
        <w:rPr>
          <w:rFonts w:cstheme="minorHAnsi"/>
        </w:rPr>
        <w:t xml:space="preserve"> </w:t>
      </w:r>
    </w:p>
    <w:p w14:paraId="687C85BD" w14:textId="36EC9395" w:rsidR="00617B6B" w:rsidRPr="00557CAC" w:rsidRDefault="00AF39B5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F39B5">
        <w:rPr>
          <w:rFonts w:cstheme="minorHAnsi"/>
        </w:rPr>
        <w:t>Veći dio ovih prihoda odnosi se na</w:t>
      </w:r>
      <w:r>
        <w:rPr>
          <w:rFonts w:cstheme="minorHAnsi"/>
        </w:rPr>
        <w:t xml:space="preserve"> isplatu konačnog zahtjeva</w:t>
      </w:r>
      <w:r w:rsidRPr="00AF39B5">
        <w:rPr>
          <w:rFonts w:cstheme="minorHAnsi"/>
        </w:rPr>
        <w:t xml:space="preserve"> kapitaln</w:t>
      </w:r>
      <w:r>
        <w:rPr>
          <w:rFonts w:cstheme="minorHAnsi"/>
        </w:rPr>
        <w:t>e</w:t>
      </w:r>
      <w:r w:rsidRPr="00AF39B5">
        <w:rPr>
          <w:rFonts w:cstheme="minorHAnsi"/>
        </w:rPr>
        <w:t xml:space="preserve"> potpor</w:t>
      </w:r>
      <w:r>
        <w:rPr>
          <w:rFonts w:cstheme="minorHAnsi"/>
        </w:rPr>
        <w:t>e</w:t>
      </w:r>
      <w:r w:rsidRPr="00AF39B5">
        <w:rPr>
          <w:rFonts w:cstheme="minorHAnsi"/>
        </w:rPr>
        <w:t xml:space="preserve"> APPRRR-a za izgradnju vrtića Suknovci</w:t>
      </w:r>
      <w:r>
        <w:rPr>
          <w:rFonts w:cstheme="minorHAnsi"/>
        </w:rPr>
        <w:t xml:space="preserve">. </w:t>
      </w:r>
      <w:r w:rsidRPr="00AF39B5">
        <w:rPr>
          <w:rFonts w:cstheme="minorHAnsi"/>
        </w:rPr>
        <w:t>Od ostalih većih prihoda iz ove skupine prihoda vrijedi istaknuti fiskalno izravnanje mjeru Ministarstva financija</w:t>
      </w:r>
      <w:r>
        <w:rPr>
          <w:rFonts w:cstheme="minorHAnsi"/>
        </w:rPr>
        <w:t xml:space="preserve">. </w:t>
      </w:r>
      <w:r w:rsidR="00703B97">
        <w:rPr>
          <w:rFonts w:cstheme="minorHAnsi"/>
        </w:rPr>
        <w:t>D</w:t>
      </w:r>
      <w:r w:rsidR="00484C9E">
        <w:rPr>
          <w:rFonts w:cstheme="minorHAnsi"/>
        </w:rPr>
        <w:t xml:space="preserve">označena završna uplata po </w:t>
      </w:r>
      <w:r w:rsidR="003D5676">
        <w:rPr>
          <w:rFonts w:cstheme="minorHAnsi"/>
        </w:rPr>
        <w:t>provedenom</w:t>
      </w:r>
      <w:r w:rsidR="00484C9E">
        <w:rPr>
          <w:rFonts w:cstheme="minorHAnsi"/>
        </w:rPr>
        <w:t xml:space="preserve"> projektu Ministarstva regionalnog razvoja i fondova EU za Program održivog razvoja lokalne zajednice Ljubotić  i Marasovine.</w:t>
      </w:r>
      <w:r>
        <w:rPr>
          <w:rFonts w:cstheme="minorHAnsi"/>
        </w:rPr>
        <w:t xml:space="preserve"> </w:t>
      </w:r>
      <w:r w:rsidR="00703B97">
        <w:rPr>
          <w:rFonts w:cstheme="minorHAnsi"/>
        </w:rPr>
        <w:t xml:space="preserve"> Uplaćen je iznos od strane APPRR-a 12.297,60 €, za projekt Leader</w:t>
      </w:r>
      <w:r w:rsidR="00077A03">
        <w:rPr>
          <w:rFonts w:cstheme="minorHAnsi"/>
        </w:rPr>
        <w:t xml:space="preserve"> (wc iza zgrade </w:t>
      </w:r>
      <w:r w:rsidR="006E40DD">
        <w:rPr>
          <w:rFonts w:cstheme="minorHAnsi"/>
        </w:rPr>
        <w:t>O</w:t>
      </w:r>
      <w:r w:rsidR="00077A03">
        <w:rPr>
          <w:rFonts w:cstheme="minorHAnsi"/>
        </w:rPr>
        <w:t>pćine)</w:t>
      </w:r>
      <w:r w:rsidR="00703B97">
        <w:rPr>
          <w:rFonts w:cstheme="minorHAnsi"/>
        </w:rPr>
        <w:t>.</w:t>
      </w:r>
    </w:p>
    <w:p w14:paraId="0C238AEA" w14:textId="77777777" w:rsidR="00431EDE" w:rsidRPr="007F70A0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A94F206" w14:textId="4C39CB08" w:rsidR="0055157E" w:rsidRPr="007F70A0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F70A0">
        <w:rPr>
          <w:rFonts w:cstheme="minorHAnsi"/>
        </w:rPr>
        <w:t>Prihodi od imovine ostvareni su u iznosu od</w:t>
      </w:r>
      <w:r w:rsidR="00976A2D">
        <w:rPr>
          <w:rFonts w:cstheme="minorHAnsi"/>
        </w:rPr>
        <w:t xml:space="preserve"> 82.306,85 €</w:t>
      </w:r>
      <w:r w:rsidRPr="007F70A0">
        <w:rPr>
          <w:rFonts w:cstheme="minorHAnsi"/>
        </w:rPr>
        <w:t xml:space="preserve">, odnosno </w:t>
      </w:r>
      <w:r w:rsidR="00976A2D" w:rsidRPr="00976A2D">
        <w:rPr>
          <w:rFonts w:cstheme="minorHAnsi"/>
        </w:rPr>
        <w:t>41,65</w:t>
      </w:r>
      <w:r w:rsidR="00976A2D">
        <w:rPr>
          <w:rFonts w:cstheme="minorHAnsi"/>
        </w:rPr>
        <w:t xml:space="preserve"> </w:t>
      </w:r>
      <w:r w:rsidRPr="007F70A0">
        <w:rPr>
          <w:rFonts w:cstheme="minorHAnsi"/>
        </w:rPr>
        <w:t xml:space="preserve">% od planiranog. Najveći dio tih (nerealiziranih) prihoda iznosi naknada NP Krka za korištenje zaštićenih prirodnih područja, koja se na račun Općine Promina najčešće uplaćuje tijekom </w:t>
      </w:r>
      <w:r w:rsidR="00BD60C8" w:rsidRPr="007F70A0">
        <w:rPr>
          <w:rFonts w:cstheme="minorHAnsi"/>
        </w:rPr>
        <w:t xml:space="preserve">III. </w:t>
      </w:r>
      <w:r w:rsidR="005C56B9" w:rsidRPr="007F70A0">
        <w:rPr>
          <w:rFonts w:cstheme="minorHAnsi"/>
        </w:rPr>
        <w:t>K</w:t>
      </w:r>
      <w:r w:rsidR="00BD60C8" w:rsidRPr="007F70A0">
        <w:rPr>
          <w:rFonts w:cstheme="minorHAnsi"/>
        </w:rPr>
        <w:t>vartala</w:t>
      </w:r>
      <w:r w:rsidR="005C56B9">
        <w:rPr>
          <w:rFonts w:cstheme="minorHAnsi"/>
        </w:rPr>
        <w:t xml:space="preserve"> proračunske godine</w:t>
      </w:r>
      <w:r w:rsidRPr="007F70A0">
        <w:rPr>
          <w:rFonts w:cstheme="minorHAnsi"/>
        </w:rPr>
        <w:t>.</w:t>
      </w:r>
    </w:p>
    <w:p w14:paraId="4F15A0CD" w14:textId="77777777" w:rsidR="00431EDE" w:rsidRPr="007F70A0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BC6C366" w14:textId="1EDD3734" w:rsidR="00431EDE" w:rsidRPr="007F70A0" w:rsidRDefault="00431EDE" w:rsidP="00431EDE">
      <w:pPr>
        <w:jc w:val="both"/>
        <w:rPr>
          <w:rFonts w:cstheme="minorHAnsi"/>
        </w:rPr>
      </w:pPr>
      <w:r w:rsidRPr="007F70A0">
        <w:rPr>
          <w:rFonts w:cstheme="minorHAnsi"/>
        </w:rPr>
        <w:t>Prihodi od</w:t>
      </w:r>
      <w:r w:rsidR="00127FC7">
        <w:rPr>
          <w:rFonts w:cstheme="minorHAnsi"/>
        </w:rPr>
        <w:t xml:space="preserve"> </w:t>
      </w:r>
      <w:r w:rsidRPr="007F70A0">
        <w:rPr>
          <w:rFonts w:cstheme="minorHAnsi"/>
        </w:rPr>
        <w:t xml:space="preserve">administrativnih pristojbi, pristojbi po posebnim propisima i  naknada </w:t>
      </w:r>
      <w:r w:rsidR="00617B6B" w:rsidRPr="007F70A0">
        <w:rPr>
          <w:rFonts w:cstheme="minorHAnsi"/>
        </w:rPr>
        <w:t>ostvareni su u iznosu od</w:t>
      </w:r>
      <w:r w:rsidR="00127FC7">
        <w:rPr>
          <w:rFonts w:cstheme="minorHAnsi"/>
        </w:rPr>
        <w:t xml:space="preserve"> </w:t>
      </w:r>
      <w:r w:rsidR="00127FC7" w:rsidRPr="00127FC7">
        <w:rPr>
          <w:rFonts w:cstheme="minorHAnsi"/>
        </w:rPr>
        <w:t>40.416,78 €</w:t>
      </w:r>
      <w:r w:rsidR="00617B6B" w:rsidRPr="007F70A0">
        <w:rPr>
          <w:rFonts w:cstheme="minorHAnsi"/>
        </w:rPr>
        <w:t xml:space="preserve">, odnosno </w:t>
      </w:r>
      <w:r w:rsidR="00127FC7">
        <w:rPr>
          <w:rFonts w:cstheme="minorHAnsi"/>
        </w:rPr>
        <w:t xml:space="preserve">14,53 </w:t>
      </w:r>
      <w:r w:rsidR="00617B6B" w:rsidRPr="007F70A0">
        <w:rPr>
          <w:rFonts w:cstheme="minorHAnsi"/>
        </w:rPr>
        <w:t xml:space="preserve">% planiranog, </w:t>
      </w:r>
      <w:r w:rsidR="00BD60C8" w:rsidRPr="007F70A0">
        <w:rPr>
          <w:rFonts w:cstheme="minorHAnsi"/>
        </w:rPr>
        <w:t>Komunalna naknada ostvarena je u planiranom iznosu, no dosta nizak postotak ostvarenja ove grupe prihoda je iz razloga što je proračunom za 202</w:t>
      </w:r>
      <w:r w:rsidR="00127FC7">
        <w:rPr>
          <w:rFonts w:cstheme="minorHAnsi"/>
        </w:rPr>
        <w:t>3</w:t>
      </w:r>
      <w:r w:rsidR="00BD60C8" w:rsidRPr="007F70A0">
        <w:rPr>
          <w:rFonts w:cstheme="minorHAnsi"/>
        </w:rPr>
        <w:t xml:space="preserve">. godinu planiran prihod komunalnog doprinosa za solarnu elektranu, taj prihod još </w:t>
      </w:r>
      <w:r w:rsidR="004529D1">
        <w:rPr>
          <w:rFonts w:cstheme="minorHAnsi"/>
        </w:rPr>
        <w:t xml:space="preserve">uvijek </w:t>
      </w:r>
      <w:r w:rsidR="00BD60C8" w:rsidRPr="007F70A0">
        <w:rPr>
          <w:rFonts w:cstheme="minorHAnsi"/>
        </w:rPr>
        <w:t>nije realiziran</w:t>
      </w:r>
      <w:r w:rsidR="004529D1">
        <w:rPr>
          <w:rFonts w:cstheme="minorHAnsi"/>
        </w:rPr>
        <w:t>.</w:t>
      </w:r>
    </w:p>
    <w:p w14:paraId="6342DB3F" w14:textId="3EDC7F5B" w:rsidR="00681AB2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F70A0">
        <w:rPr>
          <w:rFonts w:cstheme="minorHAnsi"/>
        </w:rPr>
        <w:lastRenderedPageBreak/>
        <w:t xml:space="preserve">Prihodi od prodaje </w:t>
      </w:r>
      <w:r w:rsidR="004529D1">
        <w:rPr>
          <w:rFonts w:cstheme="minorHAnsi"/>
        </w:rPr>
        <w:t>proizvoda i</w:t>
      </w:r>
      <w:r w:rsidRPr="007F70A0">
        <w:rPr>
          <w:rFonts w:cstheme="minorHAnsi"/>
        </w:rPr>
        <w:t xml:space="preserve"> pruženih usluga ostvareni su u iznosu od</w:t>
      </w:r>
      <w:r w:rsidR="004529D1">
        <w:rPr>
          <w:rFonts w:cstheme="minorHAnsi"/>
        </w:rPr>
        <w:t xml:space="preserve"> </w:t>
      </w:r>
      <w:r w:rsidR="004529D1" w:rsidRPr="004529D1">
        <w:rPr>
          <w:rFonts w:cstheme="minorHAnsi"/>
        </w:rPr>
        <w:t>4.288,78 €</w:t>
      </w:r>
      <w:r w:rsidRPr="007F70A0">
        <w:rPr>
          <w:rFonts w:cstheme="minorHAnsi"/>
        </w:rPr>
        <w:t xml:space="preserve">, odnosno </w:t>
      </w:r>
      <w:r w:rsidR="00BD60C8" w:rsidRPr="007F70A0">
        <w:rPr>
          <w:rFonts w:cstheme="minorHAnsi"/>
        </w:rPr>
        <w:t>3,</w:t>
      </w:r>
      <w:r w:rsidR="004529D1">
        <w:rPr>
          <w:rFonts w:cstheme="minorHAnsi"/>
        </w:rPr>
        <w:t xml:space="preserve">47 </w:t>
      </w:r>
      <w:r w:rsidRPr="007F70A0">
        <w:rPr>
          <w:rFonts w:cstheme="minorHAnsi"/>
        </w:rPr>
        <w:t xml:space="preserve">% planiranog proračunom za </w:t>
      </w:r>
      <w:r w:rsidR="000E6CAF" w:rsidRPr="007F70A0">
        <w:rPr>
          <w:rFonts w:cstheme="minorHAnsi"/>
        </w:rPr>
        <w:t>202</w:t>
      </w:r>
      <w:r w:rsidR="004529D1">
        <w:rPr>
          <w:rFonts w:cstheme="minorHAnsi"/>
        </w:rPr>
        <w:t>3</w:t>
      </w:r>
      <w:r w:rsidRPr="007F70A0">
        <w:rPr>
          <w:rFonts w:cstheme="minorHAnsi"/>
        </w:rPr>
        <w:t>. godinu</w:t>
      </w:r>
      <w:r w:rsidR="00BD60C8" w:rsidRPr="007F70A0">
        <w:rPr>
          <w:rFonts w:cstheme="minorHAnsi"/>
        </w:rPr>
        <w:t xml:space="preserve">, a u najvećoj mjeri se odnose na </w:t>
      </w:r>
      <w:r w:rsidR="004529D1">
        <w:rPr>
          <w:rFonts w:cstheme="minorHAnsi"/>
        </w:rPr>
        <w:t xml:space="preserve">donacije koje smo dobili </w:t>
      </w:r>
      <w:r w:rsidR="00A02C97">
        <w:rPr>
          <w:rFonts w:cstheme="minorHAnsi"/>
        </w:rPr>
        <w:t xml:space="preserve">od ŠKŽ, Tec Gradnje i Accioa Energije </w:t>
      </w:r>
      <w:r w:rsidR="004529D1">
        <w:rPr>
          <w:rFonts w:cstheme="minorHAnsi"/>
        </w:rPr>
        <w:t xml:space="preserve">za organizaciju </w:t>
      </w:r>
      <w:r w:rsidR="001C4543">
        <w:rPr>
          <w:rFonts w:cstheme="minorHAnsi"/>
        </w:rPr>
        <w:t>P</w:t>
      </w:r>
      <w:r w:rsidR="004529D1">
        <w:rPr>
          <w:rFonts w:cstheme="minorHAnsi"/>
        </w:rPr>
        <w:t xml:space="preserve">rominskih igara i </w:t>
      </w:r>
      <w:r w:rsidR="001C4543">
        <w:rPr>
          <w:rFonts w:cstheme="minorHAnsi"/>
        </w:rPr>
        <w:t>P</w:t>
      </w:r>
      <w:r w:rsidR="004529D1">
        <w:rPr>
          <w:rFonts w:cstheme="minorHAnsi"/>
        </w:rPr>
        <w:t>rominskog bronzina.</w:t>
      </w:r>
    </w:p>
    <w:p w14:paraId="169F4DE1" w14:textId="77777777" w:rsidR="004529D1" w:rsidRPr="007F70A0" w:rsidRDefault="004529D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444A564" w14:textId="77777777" w:rsidR="00617B6B" w:rsidRPr="006818B5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6818B5">
        <w:rPr>
          <w:rFonts w:cstheme="minorHAnsi"/>
          <w:b/>
          <w:bCs/>
        </w:rPr>
        <w:t>2.1.2</w:t>
      </w:r>
      <w:r w:rsidR="004F769C" w:rsidRPr="006818B5">
        <w:rPr>
          <w:rFonts w:cstheme="minorHAnsi"/>
          <w:b/>
          <w:bCs/>
        </w:rPr>
        <w:t>.</w:t>
      </w:r>
      <w:r w:rsidRPr="006818B5">
        <w:rPr>
          <w:rFonts w:cstheme="minorHAnsi"/>
          <w:b/>
          <w:bCs/>
        </w:rPr>
        <w:t xml:space="preserve"> PRIHODI OD PRODAJE NEFINANCIJSKE IMOVINE</w:t>
      </w:r>
    </w:p>
    <w:p w14:paraId="0889E225" w14:textId="77777777" w:rsidR="00617B6B" w:rsidRPr="006818B5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CB55FD0" w14:textId="072718EF" w:rsidR="00617B6B" w:rsidRPr="006818B5" w:rsidRDefault="00617B6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818B5">
        <w:rPr>
          <w:rFonts w:cstheme="minorHAnsi"/>
        </w:rPr>
        <w:t>Prihodi od prodaje nefinancijske imovine</w:t>
      </w:r>
      <w:r w:rsidR="004F769C" w:rsidRPr="006818B5">
        <w:rPr>
          <w:rFonts w:cstheme="minorHAnsi"/>
        </w:rPr>
        <w:t xml:space="preserve"> </w:t>
      </w:r>
      <w:r w:rsidRPr="006818B5">
        <w:rPr>
          <w:rFonts w:cstheme="minorHAnsi"/>
        </w:rPr>
        <w:t xml:space="preserve">su ostvareni u iznosu od </w:t>
      </w:r>
      <w:r w:rsidR="00E94F4A" w:rsidRPr="00E94F4A">
        <w:rPr>
          <w:rFonts w:cstheme="minorHAnsi"/>
        </w:rPr>
        <w:t>4.253,79 €</w:t>
      </w:r>
      <w:r w:rsidRPr="006818B5">
        <w:rPr>
          <w:rFonts w:cstheme="minorHAnsi"/>
        </w:rPr>
        <w:t xml:space="preserve">, što predstavlja </w:t>
      </w:r>
      <w:r w:rsidR="007F70A0" w:rsidRPr="006818B5">
        <w:rPr>
          <w:rFonts w:cstheme="minorHAnsi"/>
        </w:rPr>
        <w:t>4</w:t>
      </w:r>
      <w:r w:rsidR="00E94F4A">
        <w:rPr>
          <w:rFonts w:cstheme="minorHAnsi"/>
        </w:rPr>
        <w:t>9</w:t>
      </w:r>
      <w:r w:rsidR="00872140" w:rsidRPr="006818B5">
        <w:rPr>
          <w:rFonts w:cstheme="minorHAnsi"/>
        </w:rPr>
        <w:t>,</w:t>
      </w:r>
      <w:r w:rsidR="00E94F4A">
        <w:rPr>
          <w:rFonts w:cstheme="minorHAnsi"/>
        </w:rPr>
        <w:t>3</w:t>
      </w:r>
      <w:r w:rsidR="007F70A0" w:rsidRPr="006818B5">
        <w:rPr>
          <w:rFonts w:cstheme="minorHAnsi"/>
        </w:rPr>
        <w:t>1</w:t>
      </w:r>
      <w:r w:rsidR="00E94F4A">
        <w:rPr>
          <w:rFonts w:cstheme="minorHAnsi"/>
        </w:rPr>
        <w:t xml:space="preserve"> </w:t>
      </w:r>
      <w:r w:rsidRPr="006818B5">
        <w:rPr>
          <w:rFonts w:cstheme="minorHAnsi"/>
        </w:rPr>
        <w:t>% planiranog.</w:t>
      </w:r>
    </w:p>
    <w:p w14:paraId="45297525" w14:textId="77777777" w:rsidR="00431EDE" w:rsidRPr="006818B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27FEA53" w14:textId="77777777" w:rsidR="00431EDE" w:rsidRPr="006818B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6818B5">
        <w:rPr>
          <w:rFonts w:cstheme="minorHAnsi"/>
          <w:b/>
          <w:bCs/>
        </w:rPr>
        <w:t>2.2. RASHODI I IZDACI PRORAČUNA</w:t>
      </w:r>
    </w:p>
    <w:p w14:paraId="604D62D8" w14:textId="77777777" w:rsidR="00431EDE" w:rsidRPr="006818B5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E05E5F6" w14:textId="2F817113" w:rsidR="00013ADD" w:rsidRDefault="00431EDE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818B5">
        <w:rPr>
          <w:rFonts w:cstheme="minorHAnsi"/>
        </w:rPr>
        <w:t xml:space="preserve">Rashodi poslovanja u </w:t>
      </w:r>
      <w:r w:rsidR="004F769C" w:rsidRPr="006818B5">
        <w:rPr>
          <w:rFonts w:cstheme="minorHAnsi"/>
        </w:rPr>
        <w:t xml:space="preserve">prvih 6 mjeseci </w:t>
      </w:r>
      <w:r w:rsidR="000E6CAF" w:rsidRPr="006818B5">
        <w:rPr>
          <w:rFonts w:cstheme="minorHAnsi"/>
        </w:rPr>
        <w:t>202</w:t>
      </w:r>
      <w:r w:rsidR="00D73139">
        <w:rPr>
          <w:rFonts w:cstheme="minorHAnsi"/>
        </w:rPr>
        <w:t>3</w:t>
      </w:r>
      <w:r w:rsidRPr="006818B5">
        <w:rPr>
          <w:rFonts w:cstheme="minorHAnsi"/>
        </w:rPr>
        <w:t>. godin</w:t>
      </w:r>
      <w:r w:rsidR="004F769C" w:rsidRPr="006818B5">
        <w:rPr>
          <w:rFonts w:cstheme="minorHAnsi"/>
        </w:rPr>
        <w:t>e</w:t>
      </w:r>
      <w:r w:rsidRPr="006818B5">
        <w:rPr>
          <w:rFonts w:cstheme="minorHAnsi"/>
        </w:rPr>
        <w:t xml:space="preserve"> </w:t>
      </w:r>
      <w:r w:rsidR="004F769C" w:rsidRPr="006818B5">
        <w:rPr>
          <w:rFonts w:cstheme="minorHAnsi"/>
        </w:rPr>
        <w:t xml:space="preserve">ostvareni su u iznosu od </w:t>
      </w:r>
      <w:r w:rsidR="00D73139" w:rsidRPr="00D73139">
        <w:rPr>
          <w:rFonts w:cstheme="minorHAnsi"/>
        </w:rPr>
        <w:t>356.130,07 €</w:t>
      </w:r>
      <w:r w:rsidR="004F769C" w:rsidRPr="006818B5">
        <w:rPr>
          <w:rFonts w:cstheme="minorHAnsi"/>
        </w:rPr>
        <w:t>, odnosno</w:t>
      </w:r>
      <w:r w:rsidR="00D73139">
        <w:rPr>
          <w:rFonts w:cstheme="minorHAnsi"/>
        </w:rPr>
        <w:t xml:space="preserve"> </w:t>
      </w:r>
      <w:r w:rsidR="00D73139" w:rsidRPr="00D73139">
        <w:rPr>
          <w:rFonts w:cstheme="minorHAnsi"/>
        </w:rPr>
        <w:t>42,98</w:t>
      </w:r>
      <w:r w:rsidR="00D73139">
        <w:rPr>
          <w:rFonts w:cstheme="minorHAnsi"/>
        </w:rPr>
        <w:t xml:space="preserve"> </w:t>
      </w:r>
      <w:r w:rsidR="00872140" w:rsidRPr="006818B5">
        <w:rPr>
          <w:rFonts w:cstheme="minorHAnsi"/>
        </w:rPr>
        <w:t>%</w:t>
      </w:r>
      <w:r w:rsidR="004F769C" w:rsidRPr="006818B5">
        <w:rPr>
          <w:rFonts w:cstheme="minorHAnsi"/>
        </w:rPr>
        <w:t xml:space="preserve"> planiranog.</w:t>
      </w:r>
    </w:p>
    <w:p w14:paraId="40C489D8" w14:textId="77777777" w:rsidR="00FE510D" w:rsidRPr="006818B5" w:rsidRDefault="00FE510D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7225" w:type="dxa"/>
        <w:jc w:val="center"/>
        <w:tblLook w:val="04A0" w:firstRow="1" w:lastRow="0" w:firstColumn="1" w:lastColumn="0" w:noHBand="0" w:noVBand="1"/>
      </w:tblPr>
      <w:tblGrid>
        <w:gridCol w:w="2160"/>
        <w:gridCol w:w="1663"/>
        <w:gridCol w:w="1842"/>
        <w:gridCol w:w="1560"/>
      </w:tblGrid>
      <w:tr w:rsidR="006818B5" w:rsidRPr="006818B5" w14:paraId="3567D0CA" w14:textId="77777777" w:rsidTr="00872140">
        <w:trPr>
          <w:trHeight w:val="44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353B568" w14:textId="77777777" w:rsidR="00431EDE" w:rsidRPr="006818B5" w:rsidRDefault="002B024E" w:rsidP="002B02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818B5">
              <w:rPr>
                <w:rFonts w:eastAsia="Times New Roman" w:cstheme="minorHAnsi"/>
                <w:b/>
                <w:bCs/>
                <w:lang w:eastAsia="hr-HR"/>
              </w:rPr>
              <w:t>Stavka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D63229D" w14:textId="52AC4266" w:rsidR="00431EDE" w:rsidRPr="006818B5" w:rsidRDefault="00681AB2" w:rsidP="002B02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818B5">
              <w:rPr>
                <w:rFonts w:eastAsia="Times New Roman" w:cstheme="minorHAnsi"/>
                <w:b/>
                <w:bCs/>
                <w:lang w:eastAsia="hr-HR"/>
              </w:rPr>
              <w:t>Proračun 202</w:t>
            </w:r>
            <w:r w:rsidR="00330A3D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="00431EDE" w:rsidRPr="006818B5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F338D9E" w14:textId="752E11B5" w:rsidR="00431EDE" w:rsidRPr="006818B5" w:rsidRDefault="006E50DB" w:rsidP="00681A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818B5">
              <w:rPr>
                <w:rFonts w:eastAsia="Times New Roman" w:cstheme="minorHAnsi"/>
                <w:b/>
                <w:bCs/>
                <w:lang w:eastAsia="hr-HR"/>
              </w:rPr>
              <w:t>Ostvareno do 30.06.</w:t>
            </w:r>
            <w:r w:rsidR="000E6CAF" w:rsidRPr="006818B5">
              <w:rPr>
                <w:rFonts w:eastAsia="Times New Roman" w:cstheme="minorHAnsi"/>
                <w:b/>
                <w:bCs/>
                <w:lang w:eastAsia="hr-HR"/>
              </w:rPr>
              <w:t>202</w:t>
            </w:r>
            <w:r w:rsidR="00330A3D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6818B5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7CCC328" w14:textId="77777777" w:rsidR="00431EDE" w:rsidRPr="006818B5" w:rsidRDefault="006E50DB" w:rsidP="002B024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818B5">
              <w:rPr>
                <w:rFonts w:eastAsia="Times New Roman" w:cstheme="minorHAnsi"/>
                <w:b/>
                <w:bCs/>
                <w:lang w:eastAsia="hr-HR"/>
              </w:rPr>
              <w:t>Postotak</w:t>
            </w:r>
          </w:p>
        </w:tc>
      </w:tr>
      <w:tr w:rsidR="006818B5" w:rsidRPr="006818B5" w14:paraId="66DDA439" w14:textId="77777777" w:rsidTr="00872140">
        <w:trPr>
          <w:trHeight w:val="45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A780" w14:textId="77777777" w:rsidR="00872140" w:rsidRPr="006818B5" w:rsidRDefault="00872140" w:rsidP="0087214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hr-HR"/>
              </w:rPr>
            </w:pPr>
            <w:r w:rsidRPr="006818B5">
              <w:rPr>
                <w:rFonts w:eastAsia="Times New Roman" w:cstheme="minorHAnsi"/>
                <w:b/>
                <w:bCs/>
                <w:lang w:eastAsia="hr-HR"/>
              </w:rPr>
              <w:t>Rashodi poslovanja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DCB4" w14:textId="516C3063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834095">
              <w:rPr>
                <w:rFonts w:eastAsia="Times New Roman" w:cstheme="minorHAnsi"/>
                <w:b/>
                <w:bCs/>
                <w:lang w:eastAsia="hr-HR"/>
              </w:rPr>
              <w:t>828.623,98 €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9AE4" w14:textId="65A3B6EE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834095">
              <w:rPr>
                <w:rFonts w:eastAsia="Times New Roman" w:cstheme="minorHAnsi"/>
                <w:b/>
                <w:bCs/>
                <w:lang w:eastAsia="hr-HR"/>
              </w:rPr>
              <w:t>356.130,07 €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0EAD5" w14:textId="447C720C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834095">
              <w:rPr>
                <w:rFonts w:eastAsia="Times New Roman" w:cstheme="minorHAnsi"/>
                <w:b/>
                <w:bCs/>
                <w:lang w:eastAsia="hr-HR"/>
              </w:rPr>
              <w:t>42,98</w:t>
            </w:r>
            <w:r w:rsidR="00173E71">
              <w:rPr>
                <w:rFonts w:eastAsia="Times New Roman" w:cstheme="minorHAnsi"/>
                <w:b/>
                <w:bCs/>
                <w:lang w:eastAsia="hr-HR"/>
              </w:rPr>
              <w:t>%</w:t>
            </w:r>
          </w:p>
        </w:tc>
      </w:tr>
      <w:tr w:rsidR="006818B5" w:rsidRPr="006818B5" w14:paraId="7D1A65A3" w14:textId="77777777" w:rsidTr="00872140">
        <w:trPr>
          <w:trHeight w:val="412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1D69" w14:textId="77777777" w:rsidR="00872140" w:rsidRPr="006818B5" w:rsidRDefault="00872140" w:rsidP="00872140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6818B5">
              <w:rPr>
                <w:rFonts w:eastAsia="Times New Roman" w:cstheme="minorHAnsi"/>
                <w:lang w:eastAsia="hr-HR"/>
              </w:rPr>
              <w:t>Rashodi za zaposlene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F305D" w14:textId="3670B4EF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111.410,42 €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5D36" w14:textId="3FD7CCC4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bookmarkStart w:id="0" w:name="_Hlk145924251"/>
            <w:r w:rsidRPr="00834095">
              <w:rPr>
                <w:rFonts w:eastAsia="Times New Roman" w:cstheme="minorHAnsi"/>
                <w:lang w:eastAsia="hr-HR"/>
              </w:rPr>
              <w:t>55.130,76 €</w:t>
            </w:r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E35D" w14:textId="752FFF30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49,48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</w:p>
        </w:tc>
      </w:tr>
      <w:tr w:rsidR="006818B5" w:rsidRPr="006818B5" w14:paraId="267ACEF4" w14:textId="77777777" w:rsidTr="00872140">
        <w:trPr>
          <w:trHeight w:val="433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0BE8" w14:textId="77777777" w:rsidR="00872140" w:rsidRPr="006818B5" w:rsidRDefault="00872140" w:rsidP="00872140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6818B5">
              <w:rPr>
                <w:rFonts w:eastAsia="Times New Roman" w:cstheme="minorHAnsi"/>
                <w:lang w:eastAsia="hr-HR"/>
              </w:rPr>
              <w:t>Materijalni rashodi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C07D" w14:textId="414B52A0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bookmarkStart w:id="1" w:name="_Hlk145926610"/>
            <w:r w:rsidRPr="00834095">
              <w:rPr>
                <w:rFonts w:eastAsia="Times New Roman" w:cstheme="minorHAnsi"/>
                <w:lang w:eastAsia="hr-HR"/>
              </w:rPr>
              <w:t>523.238,73 €</w:t>
            </w:r>
            <w:bookmarkEnd w:id="1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42F7" w14:textId="1EC42F3A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213.421,29 €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E97B" w14:textId="4D5DC38E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40,79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</w:p>
        </w:tc>
      </w:tr>
      <w:tr w:rsidR="006818B5" w:rsidRPr="006818B5" w14:paraId="4916EC60" w14:textId="77777777" w:rsidTr="00872140">
        <w:trPr>
          <w:trHeight w:val="397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341E" w14:textId="77777777" w:rsidR="00872140" w:rsidRPr="006818B5" w:rsidRDefault="00872140" w:rsidP="00872140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6818B5">
              <w:rPr>
                <w:rFonts w:eastAsia="Times New Roman" w:cstheme="minorHAnsi"/>
                <w:lang w:eastAsia="hr-HR"/>
              </w:rPr>
              <w:t>Financijski rashodi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132" w14:textId="1A783C61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8.626,98 €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FF8AC" w14:textId="5057E4CC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3.280,88 €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3D2B4" w14:textId="212406D0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38,03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</w:p>
        </w:tc>
      </w:tr>
      <w:tr w:rsidR="006818B5" w:rsidRPr="006818B5" w14:paraId="7C6AE93B" w14:textId="77777777" w:rsidTr="00872140">
        <w:trPr>
          <w:trHeight w:val="76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6E4D" w14:textId="77777777" w:rsidR="00872140" w:rsidRPr="006818B5" w:rsidRDefault="00872140" w:rsidP="00834095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6818B5">
              <w:rPr>
                <w:rFonts w:eastAsia="Times New Roman" w:cstheme="minorHAnsi"/>
                <w:lang w:eastAsia="hr-HR"/>
              </w:rPr>
              <w:t>Pomoći dane u inozemstvo i unutar općeg proračuna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E5E75" w14:textId="74F272E7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118.123,30 €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A8A38" w14:textId="40475B45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53.979,53 €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54669" w14:textId="7E26266F" w:rsidR="00872140" w:rsidRPr="006818B5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bookmarkStart w:id="2" w:name="_Hlk145927253"/>
            <w:r w:rsidRPr="00834095">
              <w:rPr>
                <w:rFonts w:eastAsia="Times New Roman" w:cstheme="minorHAnsi"/>
                <w:lang w:eastAsia="hr-HR"/>
              </w:rPr>
              <w:t>45,70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  <w:bookmarkEnd w:id="2"/>
          </w:p>
        </w:tc>
      </w:tr>
      <w:tr w:rsidR="005B7260" w:rsidRPr="005B7260" w14:paraId="528C95F3" w14:textId="77777777" w:rsidTr="00872140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7A64" w14:textId="77777777" w:rsidR="00872140" w:rsidRPr="005B7260" w:rsidRDefault="00872140" w:rsidP="00872140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5B7260">
              <w:rPr>
                <w:rFonts w:eastAsia="Times New Roman" w:cstheme="minorHAnsi"/>
                <w:lang w:eastAsia="hr-HR"/>
              </w:rPr>
              <w:t>Naknade građanima i kućanstvima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E25C5" w14:textId="5B0B22B7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47.427,34 €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BCF6E" w14:textId="74FB9AC7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20.575,98 €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19922" w14:textId="189D7E77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43,38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</w:p>
        </w:tc>
      </w:tr>
      <w:tr w:rsidR="00872140" w:rsidRPr="005B7260" w14:paraId="644969DE" w14:textId="77777777" w:rsidTr="00872140">
        <w:trPr>
          <w:trHeight w:val="486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7AFE" w14:textId="19E8ED11" w:rsidR="00872140" w:rsidRPr="005B7260" w:rsidRDefault="007E1EAA" w:rsidP="007E1EAA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Donacije i o</w:t>
            </w:r>
            <w:r w:rsidR="00872140" w:rsidRPr="005B7260">
              <w:rPr>
                <w:rFonts w:eastAsia="Times New Roman" w:cstheme="minorHAnsi"/>
                <w:lang w:eastAsia="hr-HR"/>
              </w:rPr>
              <w:t>stali rashodi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5BCF" w14:textId="329A86FC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19.797,20 €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DFA6" w14:textId="7134583D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9.741,63 €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E023" w14:textId="6D0964BC" w:rsidR="00872140" w:rsidRPr="005B7260" w:rsidRDefault="00834095" w:rsidP="00834095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834095">
              <w:rPr>
                <w:rFonts w:eastAsia="Times New Roman" w:cstheme="minorHAnsi"/>
                <w:lang w:eastAsia="hr-HR"/>
              </w:rPr>
              <w:t>49,21</w:t>
            </w:r>
            <w:r w:rsidR="00173E71">
              <w:rPr>
                <w:rFonts w:eastAsia="Times New Roman" w:cstheme="minorHAnsi"/>
                <w:lang w:eastAsia="hr-HR"/>
              </w:rPr>
              <w:t>%</w:t>
            </w:r>
          </w:p>
        </w:tc>
      </w:tr>
    </w:tbl>
    <w:p w14:paraId="6F6F4A9A" w14:textId="77777777" w:rsidR="00431EDE" w:rsidRPr="005B7260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0681EB5" w14:textId="74C69A84" w:rsidR="006E50DB" w:rsidRDefault="006E50DB" w:rsidP="006E50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B7260">
        <w:rPr>
          <w:rFonts w:cstheme="minorHAnsi"/>
        </w:rPr>
        <w:t xml:space="preserve">Rashodi za zaposlene su realizirani </w:t>
      </w:r>
      <w:r w:rsidR="00C10AB2" w:rsidRPr="00C10AB2">
        <w:rPr>
          <w:rFonts w:cstheme="minorHAnsi"/>
        </w:rPr>
        <w:t>49,48</w:t>
      </w:r>
      <w:r w:rsidR="00C10AB2">
        <w:rPr>
          <w:rFonts w:cstheme="minorHAnsi"/>
        </w:rPr>
        <w:t xml:space="preserve"> </w:t>
      </w:r>
      <w:r w:rsidRPr="005B7260">
        <w:rPr>
          <w:rFonts w:cstheme="minorHAnsi"/>
        </w:rPr>
        <w:t xml:space="preserve">% od planiranog, odnosno </w:t>
      </w:r>
      <w:r w:rsidR="00C10AB2" w:rsidRPr="00C10AB2">
        <w:rPr>
          <w:rFonts w:cstheme="minorHAnsi"/>
        </w:rPr>
        <w:t>55.130,76 €</w:t>
      </w:r>
      <w:r w:rsidRPr="005B7260">
        <w:rPr>
          <w:rFonts w:cstheme="minorHAnsi"/>
        </w:rPr>
        <w:t xml:space="preserve">, u što su uključeni </w:t>
      </w:r>
      <w:r w:rsidR="00C10AB2">
        <w:rPr>
          <w:rFonts w:cstheme="minorHAnsi"/>
        </w:rPr>
        <w:t xml:space="preserve">7 </w:t>
      </w:r>
      <w:r w:rsidRPr="005B7260">
        <w:rPr>
          <w:rFonts w:cstheme="minorHAnsi"/>
        </w:rPr>
        <w:t>zaposleni</w:t>
      </w:r>
      <w:r w:rsidR="00C10AB2">
        <w:rPr>
          <w:rFonts w:cstheme="minorHAnsi"/>
        </w:rPr>
        <w:t>ka</w:t>
      </w:r>
      <w:r w:rsidRPr="005B7260">
        <w:rPr>
          <w:rFonts w:cstheme="minorHAnsi"/>
        </w:rPr>
        <w:t xml:space="preserve"> općine </w:t>
      </w:r>
      <w:r w:rsidR="00872140" w:rsidRPr="005B7260">
        <w:rPr>
          <w:rFonts w:cstheme="minorHAnsi"/>
        </w:rPr>
        <w:t xml:space="preserve"> i </w:t>
      </w:r>
      <w:r w:rsidR="006818B5" w:rsidRPr="005B7260">
        <w:rPr>
          <w:rFonts w:cstheme="minorHAnsi"/>
        </w:rPr>
        <w:t>1</w:t>
      </w:r>
      <w:r w:rsidR="00872140" w:rsidRPr="005B7260">
        <w:rPr>
          <w:rFonts w:cstheme="minorHAnsi"/>
        </w:rPr>
        <w:t xml:space="preserve"> djelatn</w:t>
      </w:r>
      <w:r w:rsidR="00C10AB2">
        <w:rPr>
          <w:rFonts w:cstheme="minorHAnsi"/>
        </w:rPr>
        <w:t>ik</w:t>
      </w:r>
      <w:r w:rsidR="006818B5" w:rsidRPr="005B7260">
        <w:rPr>
          <w:rFonts w:cstheme="minorHAnsi"/>
        </w:rPr>
        <w:t xml:space="preserve"> </w:t>
      </w:r>
      <w:r w:rsidR="00C10AB2">
        <w:rPr>
          <w:rFonts w:cstheme="minorHAnsi"/>
        </w:rPr>
        <w:t>javnih radova</w:t>
      </w:r>
      <w:r w:rsidR="006818B5" w:rsidRPr="005B7260">
        <w:rPr>
          <w:rFonts w:cstheme="minorHAnsi"/>
        </w:rPr>
        <w:t>.</w:t>
      </w:r>
    </w:p>
    <w:p w14:paraId="4F6A7939" w14:textId="77777777" w:rsidR="00173E71" w:rsidRPr="005B7260" w:rsidRDefault="00173E71" w:rsidP="006E50D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56ED82D" w14:textId="696AC78D" w:rsidR="00BF303A" w:rsidRPr="005B7260" w:rsidRDefault="006E50D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B7260">
        <w:rPr>
          <w:rFonts w:cstheme="minorHAnsi"/>
        </w:rPr>
        <w:t>Materijalni rashodi ostvareni su u iznosu od</w:t>
      </w:r>
      <w:r w:rsidR="00173E71">
        <w:rPr>
          <w:rFonts w:cstheme="minorHAnsi"/>
        </w:rPr>
        <w:t xml:space="preserve"> </w:t>
      </w:r>
      <w:r w:rsidR="00173E71" w:rsidRPr="00173E71">
        <w:t xml:space="preserve"> 213.421,29 €</w:t>
      </w:r>
      <w:r w:rsidR="00173E71">
        <w:t xml:space="preserve"> </w:t>
      </w:r>
      <w:r w:rsidRPr="005B7260">
        <w:rPr>
          <w:rFonts w:cstheme="minorHAnsi"/>
        </w:rPr>
        <w:t xml:space="preserve">odnosno </w:t>
      </w:r>
      <w:r w:rsidR="00173E71">
        <w:rPr>
          <w:rFonts w:cstheme="minorHAnsi"/>
        </w:rPr>
        <w:t xml:space="preserve">40,79 </w:t>
      </w:r>
      <w:r w:rsidRPr="005B7260">
        <w:rPr>
          <w:rFonts w:cstheme="minorHAnsi"/>
        </w:rPr>
        <w:t>% planiranog.</w:t>
      </w:r>
      <w:r w:rsidR="00173E71">
        <w:rPr>
          <w:rFonts w:cstheme="minorHAnsi"/>
        </w:rPr>
        <w:t xml:space="preserve"> Sve manifestacije su se održale prema plan</w:t>
      </w:r>
      <w:r w:rsidR="00400259">
        <w:rPr>
          <w:rFonts w:cstheme="minorHAnsi"/>
        </w:rPr>
        <w:t>u</w:t>
      </w:r>
      <w:r w:rsidR="00173E71">
        <w:rPr>
          <w:rFonts w:cstheme="minorHAnsi"/>
        </w:rPr>
        <w:t>.</w:t>
      </w:r>
      <w:r w:rsidR="00400259">
        <w:rPr>
          <w:rFonts w:cstheme="minorHAnsi"/>
        </w:rPr>
        <w:t xml:space="preserve"> U prvoj polovici godine održane su Prominske igre (4.950,543 €) i Prominski bronzin (dio troška </w:t>
      </w:r>
      <w:r w:rsidR="00DC2B08">
        <w:rPr>
          <w:rFonts w:cstheme="minorHAnsi"/>
        </w:rPr>
        <w:t xml:space="preserve">je </w:t>
      </w:r>
      <w:r w:rsidR="00400259">
        <w:rPr>
          <w:rFonts w:cstheme="minorHAnsi"/>
        </w:rPr>
        <w:t>3.688,92 €)</w:t>
      </w:r>
      <w:r w:rsidR="00266EA2">
        <w:rPr>
          <w:rFonts w:cstheme="minorHAnsi"/>
        </w:rPr>
        <w:t>. Ugovor o djelu je sklopljen 2022. s Antoniom Tomić, za kustoske usluge</w:t>
      </w:r>
      <w:r w:rsidR="00BA146B">
        <w:rPr>
          <w:rFonts w:cstheme="minorHAnsi"/>
        </w:rPr>
        <w:t>.</w:t>
      </w:r>
    </w:p>
    <w:p w14:paraId="286808B2" w14:textId="23AFB3C3" w:rsidR="006E50DB" w:rsidRPr="005B7260" w:rsidRDefault="006E50DB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A22600B" w14:textId="20E8A2EA" w:rsidR="006E50DB" w:rsidRDefault="005B7260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B7260">
        <w:rPr>
          <w:rFonts w:cstheme="minorHAnsi"/>
        </w:rPr>
        <w:t xml:space="preserve">Financijski rashodi su realizirani </w:t>
      </w:r>
      <w:r w:rsidR="00173E71">
        <w:rPr>
          <w:rFonts w:cstheme="minorHAnsi"/>
        </w:rPr>
        <w:t xml:space="preserve">38,03 </w:t>
      </w:r>
      <w:r w:rsidRPr="005B7260">
        <w:rPr>
          <w:rFonts w:cstheme="minorHAnsi"/>
        </w:rPr>
        <w:t>% od planiranog proračunom, odnosno</w:t>
      </w:r>
      <w:r w:rsidR="00173E71">
        <w:rPr>
          <w:rFonts w:cstheme="minorHAnsi"/>
        </w:rPr>
        <w:t xml:space="preserve"> </w:t>
      </w:r>
      <w:r w:rsidR="00173E71" w:rsidRPr="00173E71">
        <w:rPr>
          <w:rFonts w:cstheme="minorHAnsi"/>
        </w:rPr>
        <w:t>3.280,88 €</w:t>
      </w:r>
      <w:r w:rsidRPr="005B7260">
        <w:rPr>
          <w:rFonts w:cstheme="minorHAnsi"/>
        </w:rPr>
        <w:t xml:space="preserve">, a u najvećoj mjeri taj se iznos odnosi na kamate naplaćene </w:t>
      </w:r>
      <w:r w:rsidR="00173E71">
        <w:rPr>
          <w:rFonts w:cstheme="minorHAnsi"/>
        </w:rPr>
        <w:t>za kratkoročni kredit, kojeg smo morali uzeti krajem 2022. godine.</w:t>
      </w:r>
    </w:p>
    <w:p w14:paraId="070F2A02" w14:textId="77777777" w:rsidR="00173E71" w:rsidRPr="005B7260" w:rsidRDefault="00173E7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5ADE837" w14:textId="0B3748DA" w:rsidR="00F913D3" w:rsidRDefault="00F913D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913D3">
        <w:rPr>
          <w:rFonts w:cstheme="minorHAnsi"/>
        </w:rPr>
        <w:t>Pomoći DVD-u Promina i za rad područnog odjeljenja dječjeg vrtića Drniš ostvarena ostvarene su prema pojedinačnim zahtjevima DVD-a</w:t>
      </w:r>
      <w:r>
        <w:rPr>
          <w:rFonts w:cstheme="minorHAnsi"/>
        </w:rPr>
        <w:t xml:space="preserve"> </w:t>
      </w:r>
      <w:r w:rsidRPr="00F913D3">
        <w:rPr>
          <w:rFonts w:cstheme="minorHAnsi"/>
        </w:rPr>
        <w:t xml:space="preserve">u iznosu od </w:t>
      </w:r>
      <w:r>
        <w:rPr>
          <w:rFonts w:cstheme="minorHAnsi"/>
        </w:rPr>
        <w:t>12.990,84 €</w:t>
      </w:r>
      <w:r w:rsidRPr="00F913D3">
        <w:rPr>
          <w:rFonts w:cstheme="minorHAnsi"/>
        </w:rPr>
        <w:t xml:space="preserve"> i sukladno potpisanom sporazumu s Dječjim vrtićem Drniš iznos od </w:t>
      </w:r>
      <w:r>
        <w:rPr>
          <w:rFonts w:cstheme="minorHAnsi"/>
        </w:rPr>
        <w:t>40.988,69 €</w:t>
      </w:r>
      <w:r w:rsidRPr="00F913D3">
        <w:rPr>
          <w:rFonts w:cstheme="minorHAnsi"/>
        </w:rPr>
        <w:t>.</w:t>
      </w:r>
    </w:p>
    <w:p w14:paraId="6B427387" w14:textId="77777777" w:rsidR="00F913D3" w:rsidRPr="005B7260" w:rsidRDefault="00F913D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A440ECD" w14:textId="0E7D6333" w:rsidR="00863CF9" w:rsidRDefault="00863CF9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B7260">
        <w:rPr>
          <w:rFonts w:cstheme="minorHAnsi"/>
        </w:rPr>
        <w:t>Naknade građanima i ku</w:t>
      </w:r>
      <w:r w:rsidR="002A20AE" w:rsidRPr="005B7260">
        <w:rPr>
          <w:rFonts w:cstheme="minorHAnsi"/>
        </w:rPr>
        <w:t>ć</w:t>
      </w:r>
      <w:r w:rsidRPr="005B7260">
        <w:rPr>
          <w:rFonts w:cstheme="minorHAnsi"/>
        </w:rPr>
        <w:t xml:space="preserve">anstvima, većinom na temelju socijalnog programa Općine Promina, </w:t>
      </w:r>
      <w:r w:rsidR="002A20AE" w:rsidRPr="005B7260">
        <w:rPr>
          <w:rFonts w:cstheme="minorHAnsi"/>
        </w:rPr>
        <w:t xml:space="preserve">realizirane su </w:t>
      </w:r>
      <w:r w:rsidR="00180B3C" w:rsidRPr="00180B3C">
        <w:rPr>
          <w:rFonts w:cstheme="minorHAnsi"/>
        </w:rPr>
        <w:t>43,38%</w:t>
      </w:r>
      <w:r w:rsidR="00180B3C">
        <w:rPr>
          <w:rFonts w:cstheme="minorHAnsi"/>
        </w:rPr>
        <w:t xml:space="preserve"> </w:t>
      </w:r>
      <w:r w:rsidR="002A20AE" w:rsidRPr="005B7260">
        <w:rPr>
          <w:rFonts w:cstheme="minorHAnsi"/>
        </w:rPr>
        <w:t>od planiranog, a isplaćuju se sukladno pozitivno ocijenjenim zahtjevima građana za jednokratne naknade na temelju javnih poziva Općine Promina i socijalnog programa Općine.</w:t>
      </w:r>
    </w:p>
    <w:p w14:paraId="4999E20A" w14:textId="77777777" w:rsidR="00180B3C" w:rsidRPr="005B7260" w:rsidRDefault="00180B3C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FF88D7D" w14:textId="6FD00295" w:rsidR="00863CF9" w:rsidRDefault="006F7677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Tekuće donacije u novcu realizirane se u iznosu od 9.741,63</w:t>
      </w:r>
      <w:r w:rsidR="0066714D">
        <w:rPr>
          <w:rFonts w:cstheme="minorHAnsi"/>
        </w:rPr>
        <w:t xml:space="preserve"> €</w:t>
      </w:r>
      <w:r>
        <w:rPr>
          <w:rFonts w:cstheme="minorHAnsi"/>
        </w:rPr>
        <w:t xml:space="preserve"> temeljem pojedinačnih molbi za donaciju udruga, te prema odluci o sufinanciranju javnih potreba u 2023. godini u području kulture, sporta, poljoprivrede i zaštite okoliša</w:t>
      </w:r>
      <w:r w:rsidR="005B7260" w:rsidRPr="005B7260">
        <w:rPr>
          <w:rFonts w:cstheme="minorHAnsi"/>
        </w:rPr>
        <w:t>.</w:t>
      </w:r>
    </w:p>
    <w:p w14:paraId="7A1634A1" w14:textId="77777777" w:rsidR="007E1EAA" w:rsidRPr="005B7260" w:rsidRDefault="007E1EAA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52FD901" w14:textId="0EDFA7C6" w:rsidR="00013ADD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13577">
        <w:rPr>
          <w:rFonts w:cstheme="minorHAnsi"/>
        </w:rPr>
        <w:t xml:space="preserve">Rashodi za nabavu nefinancijske imovine </w:t>
      </w:r>
      <w:r w:rsidR="00B55B3A" w:rsidRPr="00613577">
        <w:rPr>
          <w:rFonts w:cstheme="minorHAnsi"/>
        </w:rPr>
        <w:t>ostvareni</w:t>
      </w:r>
      <w:r w:rsidRPr="00613577">
        <w:rPr>
          <w:rFonts w:cstheme="minorHAnsi"/>
        </w:rPr>
        <w:t xml:space="preserve"> su u iznosu od</w:t>
      </w:r>
      <w:r w:rsidR="002D1861">
        <w:rPr>
          <w:rFonts w:cstheme="minorHAnsi"/>
        </w:rPr>
        <w:t xml:space="preserve"> </w:t>
      </w:r>
      <w:r w:rsidR="002D1861" w:rsidRPr="002D1861">
        <w:rPr>
          <w:rFonts w:cstheme="minorHAnsi"/>
        </w:rPr>
        <w:t>19.298,23 €</w:t>
      </w:r>
      <w:r w:rsidRPr="00613577">
        <w:rPr>
          <w:rFonts w:cstheme="minorHAnsi"/>
        </w:rPr>
        <w:t xml:space="preserve"> </w:t>
      </w:r>
      <w:r w:rsidR="00B55B3A" w:rsidRPr="00613577">
        <w:rPr>
          <w:rFonts w:cstheme="minorHAnsi"/>
        </w:rPr>
        <w:t xml:space="preserve">u odnosu na planiranih </w:t>
      </w:r>
      <w:r w:rsidR="002D1861" w:rsidRPr="002D1861">
        <w:rPr>
          <w:rFonts w:cstheme="minorHAnsi"/>
        </w:rPr>
        <w:t>675.026,82 €</w:t>
      </w:r>
      <w:r w:rsidR="002A20AE" w:rsidRPr="00613577">
        <w:rPr>
          <w:rFonts w:cstheme="minorHAnsi"/>
        </w:rPr>
        <w:t xml:space="preserve">, što predstavlja </w:t>
      </w:r>
      <w:r w:rsidR="002D1861">
        <w:rPr>
          <w:rFonts w:cstheme="minorHAnsi"/>
        </w:rPr>
        <w:t>2</w:t>
      </w:r>
      <w:r w:rsidR="00B55B3A" w:rsidRPr="00613577">
        <w:rPr>
          <w:rFonts w:cstheme="minorHAnsi"/>
        </w:rPr>
        <w:t>,</w:t>
      </w:r>
      <w:r w:rsidR="005B7260" w:rsidRPr="00613577">
        <w:rPr>
          <w:rFonts w:cstheme="minorHAnsi"/>
        </w:rPr>
        <w:t>8</w:t>
      </w:r>
      <w:r w:rsidR="002D1861">
        <w:rPr>
          <w:rFonts w:cstheme="minorHAnsi"/>
        </w:rPr>
        <w:t>6</w:t>
      </w:r>
      <w:r w:rsidR="00B55B3A" w:rsidRPr="00613577">
        <w:rPr>
          <w:rFonts w:cstheme="minorHAnsi"/>
        </w:rPr>
        <w:t>%</w:t>
      </w:r>
      <w:r w:rsidR="00361914" w:rsidRPr="00613577">
        <w:rPr>
          <w:rFonts w:cstheme="minorHAnsi"/>
        </w:rPr>
        <w:t>.</w:t>
      </w:r>
    </w:p>
    <w:p w14:paraId="34B717A5" w14:textId="77777777" w:rsidR="00FE510D" w:rsidRPr="00613577" w:rsidRDefault="00FE510D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70"/>
        <w:gridCol w:w="1833"/>
        <w:gridCol w:w="1701"/>
        <w:gridCol w:w="1276"/>
      </w:tblGrid>
      <w:tr w:rsidR="00613577" w:rsidRPr="00613577" w14:paraId="6FAC0166" w14:textId="77777777" w:rsidTr="00B55B3A">
        <w:trPr>
          <w:trHeight w:val="459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909FD0A" w14:textId="77777777" w:rsidR="00104D72" w:rsidRPr="00613577" w:rsidRDefault="00104D72" w:rsidP="0010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13577">
              <w:rPr>
                <w:rFonts w:cstheme="minorHAnsi"/>
                <w:b/>
                <w:bCs/>
              </w:rPr>
              <w:t>Stavka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F3D48EA" w14:textId="371DD01A" w:rsidR="00104D72" w:rsidRPr="00613577" w:rsidRDefault="00104D72" w:rsidP="00104D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13577">
              <w:rPr>
                <w:rFonts w:eastAsia="Times New Roman" w:cstheme="minorHAnsi"/>
                <w:b/>
                <w:bCs/>
                <w:lang w:eastAsia="hr-HR"/>
              </w:rPr>
              <w:t xml:space="preserve">Proračun </w:t>
            </w:r>
            <w:r w:rsidR="000E6CAF" w:rsidRPr="00613577">
              <w:rPr>
                <w:rFonts w:eastAsia="Times New Roman" w:cstheme="minorHAnsi"/>
                <w:b/>
                <w:bCs/>
                <w:lang w:eastAsia="hr-HR"/>
              </w:rPr>
              <w:t>202</w:t>
            </w:r>
            <w:r w:rsidR="00375077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613577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D232282" w14:textId="65573700" w:rsidR="00104D72" w:rsidRPr="00613577" w:rsidRDefault="002A20AE" w:rsidP="00104D7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613577">
              <w:rPr>
                <w:rFonts w:eastAsia="Times New Roman" w:cstheme="minorHAnsi"/>
                <w:b/>
                <w:bCs/>
                <w:lang w:eastAsia="hr-HR"/>
              </w:rPr>
              <w:t>Ostvareno do 30.06.</w:t>
            </w:r>
            <w:r w:rsidR="000E6CAF" w:rsidRPr="00613577">
              <w:rPr>
                <w:rFonts w:eastAsia="Times New Roman" w:cstheme="minorHAnsi"/>
                <w:b/>
                <w:bCs/>
                <w:lang w:eastAsia="hr-HR"/>
              </w:rPr>
              <w:t>202</w:t>
            </w:r>
            <w:r w:rsidR="00375077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613577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7EFA579" w14:textId="77777777" w:rsidR="00104D72" w:rsidRPr="00613577" w:rsidRDefault="00104D72" w:rsidP="00104D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613577">
              <w:rPr>
                <w:rFonts w:cstheme="minorHAnsi"/>
                <w:b/>
                <w:bCs/>
              </w:rPr>
              <w:t>P</w:t>
            </w:r>
            <w:r w:rsidR="002A20AE" w:rsidRPr="00613577">
              <w:rPr>
                <w:rFonts w:cstheme="minorHAnsi"/>
                <w:b/>
                <w:bCs/>
              </w:rPr>
              <w:t>ostotak</w:t>
            </w:r>
          </w:p>
        </w:tc>
      </w:tr>
      <w:tr w:rsidR="00613577" w:rsidRPr="00613577" w14:paraId="093A2D57" w14:textId="77777777" w:rsidTr="00B55B3A">
        <w:trPr>
          <w:trHeight w:val="494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E9C38" w14:textId="77777777" w:rsidR="00104D72" w:rsidRPr="00613577" w:rsidRDefault="00104D72" w:rsidP="003750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613577">
              <w:rPr>
                <w:rFonts w:cstheme="minorHAnsi"/>
                <w:b/>
                <w:bCs/>
              </w:rPr>
              <w:t xml:space="preserve">Rashodi za nabavu nefinancijske imovine 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BD50E" w14:textId="29631F0D" w:rsidR="00104D72" w:rsidRPr="00613577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375077">
              <w:rPr>
                <w:rFonts w:cstheme="minorHAnsi"/>
                <w:b/>
                <w:bCs/>
              </w:rPr>
              <w:t>675.026,82 €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94338" w14:textId="5FA8976D" w:rsidR="00104D72" w:rsidRPr="00613577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bookmarkStart w:id="3" w:name="_Hlk145929032"/>
            <w:r w:rsidRPr="00375077">
              <w:rPr>
                <w:rFonts w:cstheme="minorHAnsi"/>
                <w:b/>
                <w:bCs/>
              </w:rPr>
              <w:t>19.298,23 €</w:t>
            </w:r>
            <w:bookmarkEnd w:id="3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4799C" w14:textId="36DFF4F7" w:rsidR="00104D72" w:rsidRPr="00613577" w:rsidRDefault="00375077" w:rsidP="002D186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  <w:b/>
                <w:bCs/>
              </w:rPr>
            </w:pPr>
            <w:r w:rsidRPr="00375077">
              <w:rPr>
                <w:rFonts w:cstheme="minorHAnsi"/>
                <w:b/>
                <w:bCs/>
              </w:rPr>
              <w:t>2,86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375077">
              <w:rPr>
                <w:rFonts w:cstheme="minorHAnsi"/>
                <w:b/>
                <w:bCs/>
              </w:rPr>
              <w:t>%</w:t>
            </w:r>
          </w:p>
        </w:tc>
      </w:tr>
      <w:tr w:rsidR="00025E80" w:rsidRPr="00025E80" w14:paraId="7D9290FE" w14:textId="77777777" w:rsidTr="00B55B3A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A2A04" w14:textId="48C566F8" w:rsidR="00104D72" w:rsidRPr="00025E80" w:rsidRDefault="00104D72" w:rsidP="002D18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025E80">
              <w:rPr>
                <w:rFonts w:cstheme="minorHAnsi"/>
              </w:rPr>
              <w:t>Rashodi za nabavu neproizvedene dugotrajne imovine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A92E7" w14:textId="26BF6FE9" w:rsidR="00104D72" w:rsidRPr="00025E80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5077">
              <w:rPr>
                <w:rFonts w:cstheme="minorHAnsi"/>
              </w:rPr>
              <w:t>43.043,33 €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6B47" w14:textId="6C775AC7" w:rsidR="00104D72" w:rsidRPr="00025E80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5077">
              <w:rPr>
                <w:rFonts w:cstheme="minorHAnsi"/>
              </w:rPr>
              <w:t>17.071,77 €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A67F2" w14:textId="6F498DD6" w:rsidR="00104D72" w:rsidRPr="00025E80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5077">
              <w:rPr>
                <w:rFonts w:cstheme="minorHAnsi"/>
              </w:rPr>
              <w:t>39,66</w:t>
            </w:r>
            <w:r>
              <w:rPr>
                <w:rFonts w:cstheme="minorHAnsi"/>
              </w:rPr>
              <w:t xml:space="preserve"> </w:t>
            </w:r>
            <w:r w:rsidRPr="00375077">
              <w:rPr>
                <w:rFonts w:cstheme="minorHAnsi"/>
              </w:rPr>
              <w:t>%</w:t>
            </w:r>
          </w:p>
        </w:tc>
      </w:tr>
      <w:tr w:rsidR="00025E80" w:rsidRPr="00025E80" w14:paraId="38D7756E" w14:textId="77777777" w:rsidTr="00B55B3A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1578E" w14:textId="77777777" w:rsidR="00104D72" w:rsidRPr="00025E80" w:rsidRDefault="00104D72" w:rsidP="0037507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025E80">
              <w:rPr>
                <w:rFonts w:cstheme="minorHAnsi"/>
              </w:rPr>
              <w:t>Rashodi za nabavu proizvedene dugotrajne imovine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8E962" w14:textId="7F9A4BB9" w:rsidR="00104D72" w:rsidRPr="00025E80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5077">
              <w:rPr>
                <w:rFonts w:cstheme="minorHAnsi"/>
              </w:rPr>
              <w:t>631.983,49 €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25BF" w14:textId="68A4A6C8" w:rsidR="00104D72" w:rsidRPr="00025E80" w:rsidRDefault="00375077" w:rsidP="002D1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 w:rsidRPr="00375077">
              <w:rPr>
                <w:rFonts w:cstheme="minorHAnsi"/>
              </w:rPr>
              <w:t>2.226,46 €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05BA" w14:textId="526D0402" w:rsidR="00104D72" w:rsidRPr="00025E80" w:rsidRDefault="00375077" w:rsidP="002D186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0,35 </w:t>
            </w:r>
            <w:r w:rsidRPr="00375077">
              <w:rPr>
                <w:rFonts w:cstheme="minorHAnsi"/>
              </w:rPr>
              <w:t>%</w:t>
            </w:r>
          </w:p>
        </w:tc>
      </w:tr>
    </w:tbl>
    <w:p w14:paraId="4F2FB140" w14:textId="77777777" w:rsidR="00431EDE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65996F" w14:textId="67397776" w:rsidR="0003317C" w:rsidRDefault="00067F89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67F89">
        <w:rPr>
          <w:rFonts w:cstheme="minorHAnsi"/>
        </w:rPr>
        <w:t xml:space="preserve">Postotak realizacije je nizak </w:t>
      </w:r>
      <w:r w:rsidR="0003317C">
        <w:rPr>
          <w:rFonts w:cstheme="minorHAnsi"/>
        </w:rPr>
        <w:t>zbog nedostatka financijskih sredstava za realizaciju planiranih projekata, uplate dobivenih projekata očekujemo u drugoj polovici izvještajnog razdoblja, do sada smo realizirali financiranje projektne dokumentacije</w:t>
      </w:r>
      <w:r w:rsidR="00705E46">
        <w:rPr>
          <w:rFonts w:cstheme="minorHAnsi"/>
        </w:rPr>
        <w:t>:</w:t>
      </w:r>
      <w:r w:rsidR="0003317C">
        <w:rPr>
          <w:rFonts w:cstheme="minorHAnsi"/>
        </w:rPr>
        <w:t xml:space="preserve"> pješačke staze Čitluk-Radasi, vježbališta na otvorenom, </w:t>
      </w:r>
      <w:r w:rsidR="00705E46">
        <w:rPr>
          <w:rFonts w:cstheme="minorHAnsi"/>
        </w:rPr>
        <w:t>hostela i spomenika križa.</w:t>
      </w:r>
    </w:p>
    <w:p w14:paraId="56C87476" w14:textId="77777777" w:rsidR="0003317C" w:rsidRDefault="0003317C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82804A4" w14:textId="77777777" w:rsidR="0077072A" w:rsidRDefault="0077072A" w:rsidP="0077072A">
      <w:pPr>
        <w:pStyle w:val="Odlomakpopisa"/>
        <w:autoSpaceDE w:val="0"/>
        <w:autoSpaceDN w:val="0"/>
        <w:adjustRightInd w:val="0"/>
        <w:spacing w:after="0" w:line="360" w:lineRule="auto"/>
        <w:ind w:left="0"/>
        <w:jc w:val="both"/>
        <w:rPr>
          <w:rFonts w:cstheme="minorHAnsi"/>
          <w:b/>
          <w:bCs/>
        </w:rPr>
      </w:pPr>
      <w:r w:rsidRPr="008A3652">
        <w:rPr>
          <w:rFonts w:cstheme="minorHAnsi"/>
          <w:b/>
          <w:bCs/>
        </w:rPr>
        <w:t>Izdaci za financijsku imovinu i otplate zajmova</w:t>
      </w:r>
    </w:p>
    <w:p w14:paraId="5246D6A0" w14:textId="03DBA657" w:rsidR="0077072A" w:rsidRPr="00283C7A" w:rsidRDefault="0077072A" w:rsidP="0077072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Na kraju 2022. godine ostvaren je primitak HPB-a  u iznosu od 1.500.000,00 kn za izdatke za financijsku imovinu i otplate zajmova. Na dan 30.6.2023. je ostalo još</w:t>
      </w:r>
      <w:r w:rsidR="00D122F7">
        <w:rPr>
          <w:rFonts w:cstheme="minorHAnsi"/>
        </w:rPr>
        <w:t xml:space="preserve"> 19.</w:t>
      </w:r>
      <w:r w:rsidR="00144B03">
        <w:rPr>
          <w:rFonts w:cstheme="minorHAnsi"/>
        </w:rPr>
        <w:t>136,05</w:t>
      </w:r>
      <w:r w:rsidR="00D122F7">
        <w:rPr>
          <w:rFonts w:cstheme="minorHAnsi"/>
        </w:rPr>
        <w:t xml:space="preserve"> € obveza za kredit.</w:t>
      </w:r>
    </w:p>
    <w:p w14:paraId="2B5C6315" w14:textId="77777777" w:rsidR="0003317C" w:rsidRDefault="0003317C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4C969D7" w14:textId="77777777" w:rsidR="00067F89" w:rsidRPr="00025E80" w:rsidRDefault="00067F89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00DCF0" w14:textId="77777777" w:rsidR="00025E80" w:rsidRDefault="00025E80" w:rsidP="00025E80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3. POTRAŽIVANJA I OBVEZE</w:t>
      </w:r>
    </w:p>
    <w:p w14:paraId="6F28B2AF" w14:textId="723EB5B1" w:rsidR="00025E80" w:rsidRDefault="00025E80" w:rsidP="00025E80">
      <w:pPr>
        <w:jc w:val="both"/>
        <w:rPr>
          <w:rFonts w:cstheme="minorHAnsi"/>
        </w:rPr>
      </w:pPr>
      <w:r>
        <w:rPr>
          <w:rFonts w:cstheme="minorHAnsi"/>
        </w:rPr>
        <w:t>Na dan 30. lipnja 202</w:t>
      </w:r>
      <w:r w:rsidR="00884396">
        <w:rPr>
          <w:rFonts w:cstheme="minorHAnsi"/>
        </w:rPr>
        <w:t>3</w:t>
      </w:r>
      <w:r>
        <w:rPr>
          <w:rFonts w:cstheme="minorHAnsi"/>
        </w:rPr>
        <w:t xml:space="preserve">. godine ukupna potraživanja Općine Promina iznose </w:t>
      </w:r>
      <w:r w:rsidR="00884396">
        <w:rPr>
          <w:rFonts w:cstheme="minorHAnsi"/>
        </w:rPr>
        <w:t>384.353,17 €</w:t>
      </w:r>
      <w:r>
        <w:rPr>
          <w:rFonts w:cstheme="minorHAnsi"/>
        </w:rPr>
        <w:t xml:space="preserve">. </w:t>
      </w:r>
    </w:p>
    <w:p w14:paraId="075BD911" w14:textId="48DB4650" w:rsidR="00025E80" w:rsidRDefault="00025E80" w:rsidP="00025E80">
      <w:pPr>
        <w:jc w:val="both"/>
        <w:rPr>
          <w:rFonts w:cstheme="minorHAnsi"/>
        </w:rPr>
      </w:pPr>
      <w:r>
        <w:rPr>
          <w:rFonts w:cstheme="minorHAnsi"/>
        </w:rPr>
        <w:t>Na dan 30. lipnja 202</w:t>
      </w:r>
      <w:r w:rsidR="00884396">
        <w:rPr>
          <w:rFonts w:cstheme="minorHAnsi"/>
        </w:rPr>
        <w:t>3</w:t>
      </w:r>
      <w:r>
        <w:rPr>
          <w:rFonts w:cstheme="minorHAnsi"/>
        </w:rPr>
        <w:t xml:space="preserve">. godine nepodmirene obveze Općine Promina iznose </w:t>
      </w:r>
      <w:r w:rsidR="00884396">
        <w:rPr>
          <w:rFonts w:cstheme="minorHAnsi"/>
        </w:rPr>
        <w:t>72.205,97 €</w:t>
      </w:r>
      <w:r>
        <w:rPr>
          <w:rFonts w:cstheme="minorHAnsi"/>
        </w:rPr>
        <w:t>.</w:t>
      </w:r>
    </w:p>
    <w:p w14:paraId="3455C077" w14:textId="33A3866B" w:rsidR="00025E80" w:rsidRPr="00DA5A7A" w:rsidRDefault="00DA5A7A" w:rsidP="00025E80">
      <w:pPr>
        <w:jc w:val="both"/>
        <w:rPr>
          <w:rFonts w:cstheme="minorHAnsi"/>
          <w:b/>
          <w:bCs/>
        </w:rPr>
      </w:pPr>
      <w:r w:rsidRPr="00DA5A7A">
        <w:rPr>
          <w:rFonts w:cstheme="minorHAnsi"/>
          <w:b/>
          <w:bCs/>
        </w:rPr>
        <w:t>4. OBVEZE PO SUDSKIM PRESUDAMA</w:t>
      </w:r>
    </w:p>
    <w:p w14:paraId="1D4288DE" w14:textId="34CF0A31" w:rsidR="00025E80" w:rsidRDefault="00884396" w:rsidP="00025E80">
      <w:pPr>
        <w:jc w:val="both"/>
        <w:rPr>
          <w:rFonts w:cstheme="minorHAnsi"/>
        </w:rPr>
      </w:pPr>
      <w:r>
        <w:rPr>
          <w:rFonts w:cstheme="minorHAnsi"/>
        </w:rPr>
        <w:t>Na dan</w:t>
      </w:r>
      <w:r w:rsidR="00DA5A7A">
        <w:rPr>
          <w:rFonts w:cstheme="minorHAnsi"/>
        </w:rPr>
        <w:t xml:space="preserve"> 30. lipnja 20</w:t>
      </w:r>
      <w:r>
        <w:rPr>
          <w:rFonts w:cstheme="minorHAnsi"/>
        </w:rPr>
        <w:t>3</w:t>
      </w:r>
      <w:r w:rsidR="00DA5A7A">
        <w:rPr>
          <w:rFonts w:cstheme="minorHAnsi"/>
        </w:rPr>
        <w:t xml:space="preserve">2. godine </w:t>
      </w:r>
      <w:r w:rsidRPr="00884396">
        <w:rPr>
          <w:rFonts w:cstheme="minorHAnsi"/>
        </w:rPr>
        <w:t>Općina Promina nema obveza po sudskim presudama.</w:t>
      </w:r>
    </w:p>
    <w:p w14:paraId="2F12BB5C" w14:textId="77777777" w:rsidR="00B23139" w:rsidRDefault="00B23139" w:rsidP="00025E80">
      <w:pPr>
        <w:jc w:val="both"/>
        <w:rPr>
          <w:rFonts w:cstheme="minorHAnsi"/>
        </w:rPr>
      </w:pPr>
    </w:p>
    <w:p w14:paraId="14006C8B" w14:textId="7D66CDDA" w:rsidR="00B23139" w:rsidRDefault="00B23139" w:rsidP="00B23139">
      <w:pPr>
        <w:jc w:val="both"/>
        <w:rPr>
          <w:rFonts w:cstheme="minorHAnsi"/>
        </w:rPr>
      </w:pPr>
      <w:r>
        <w:rPr>
          <w:rFonts w:cstheme="minorHAnsi"/>
        </w:rPr>
        <w:t xml:space="preserve">U Oklaju, </w:t>
      </w:r>
      <w:r w:rsidR="00A05591">
        <w:rPr>
          <w:rFonts w:cstheme="minorHAnsi"/>
        </w:rPr>
        <w:t>15</w:t>
      </w:r>
      <w:r>
        <w:rPr>
          <w:rFonts w:cstheme="minorHAnsi"/>
        </w:rPr>
        <w:t xml:space="preserve">. </w:t>
      </w:r>
      <w:r w:rsidR="00A05591">
        <w:rPr>
          <w:rFonts w:cstheme="minorHAnsi"/>
        </w:rPr>
        <w:t>rujna</w:t>
      </w:r>
      <w:r>
        <w:rPr>
          <w:rFonts w:cstheme="minorHAnsi"/>
        </w:rPr>
        <w:t xml:space="preserve"> 202</w:t>
      </w:r>
      <w:r w:rsidR="00A05591">
        <w:rPr>
          <w:rFonts w:cstheme="minorHAnsi"/>
        </w:rPr>
        <w:t>3</w:t>
      </w:r>
      <w:r>
        <w:rPr>
          <w:rFonts w:cstheme="minorHAnsi"/>
        </w:rPr>
        <w:t>. godine</w:t>
      </w:r>
    </w:p>
    <w:p w14:paraId="5CDF98E1" w14:textId="77777777" w:rsidR="00A05591" w:rsidRDefault="00A05591" w:rsidP="00A05591">
      <w:pPr>
        <w:pStyle w:val="Bezproreda"/>
        <w:ind w:left="4248"/>
      </w:pPr>
      <w:r>
        <w:t>Viši savjetnik za financijsko računovodstvene poslove</w:t>
      </w:r>
      <w:r w:rsidR="00B23139">
        <w:t xml:space="preserve"> </w:t>
      </w:r>
    </w:p>
    <w:p w14:paraId="15E31742" w14:textId="1458461B" w:rsidR="00013ADD" w:rsidRPr="00DA0B68" w:rsidRDefault="00A05591" w:rsidP="00A05591">
      <w:pPr>
        <w:pStyle w:val="Bezproreda"/>
        <w:ind w:left="4956" w:firstLine="708"/>
      </w:pPr>
      <w:r>
        <w:t xml:space="preserve">  </w:t>
      </w:r>
      <w:r w:rsidR="00013ADD" w:rsidRPr="00DA0B68">
        <w:t>A</w:t>
      </w:r>
      <w:r>
        <w:t>na Galić</w:t>
      </w:r>
      <w:r w:rsidR="00B55B3A" w:rsidRPr="00DA0B68">
        <w:t xml:space="preserve"> mag. oec.</w:t>
      </w:r>
    </w:p>
    <w:sectPr w:rsidR="00013ADD" w:rsidRPr="00DA0B68" w:rsidSect="00AA418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E2D"/>
    <w:multiLevelType w:val="hybridMultilevel"/>
    <w:tmpl w:val="5EEE4640"/>
    <w:lvl w:ilvl="0" w:tplc="96163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8D8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CCE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63B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208F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6E0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650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A4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43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CE1E52"/>
    <w:multiLevelType w:val="hybridMultilevel"/>
    <w:tmpl w:val="474C9D2A"/>
    <w:lvl w:ilvl="0" w:tplc="6A0E38D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F496708"/>
    <w:multiLevelType w:val="hybridMultilevel"/>
    <w:tmpl w:val="C8CCCA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F72FD"/>
    <w:multiLevelType w:val="hybridMultilevel"/>
    <w:tmpl w:val="2EE0AD34"/>
    <w:lvl w:ilvl="0" w:tplc="2EF0F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727784">
    <w:abstractNumId w:val="2"/>
  </w:num>
  <w:num w:numId="2" w16cid:durableId="443311443">
    <w:abstractNumId w:val="0"/>
  </w:num>
  <w:num w:numId="3" w16cid:durableId="1735622175">
    <w:abstractNumId w:val="1"/>
  </w:num>
  <w:num w:numId="4" w16cid:durableId="1109399355">
    <w:abstractNumId w:val="4"/>
  </w:num>
  <w:num w:numId="5" w16cid:durableId="9244159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DE"/>
    <w:rsid w:val="00013ADD"/>
    <w:rsid w:val="00025E06"/>
    <w:rsid w:val="00025E80"/>
    <w:rsid w:val="0003317C"/>
    <w:rsid w:val="00067F89"/>
    <w:rsid w:val="00077A03"/>
    <w:rsid w:val="000C11FD"/>
    <w:rsid w:val="000D6088"/>
    <w:rsid w:val="000E12DE"/>
    <w:rsid w:val="000E6CAF"/>
    <w:rsid w:val="00104D72"/>
    <w:rsid w:val="0012587D"/>
    <w:rsid w:val="00127FC7"/>
    <w:rsid w:val="00144B03"/>
    <w:rsid w:val="00173E71"/>
    <w:rsid w:val="00180B3C"/>
    <w:rsid w:val="001C4543"/>
    <w:rsid w:val="00266EA2"/>
    <w:rsid w:val="002A20AE"/>
    <w:rsid w:val="002B024E"/>
    <w:rsid w:val="002D1861"/>
    <w:rsid w:val="002E604B"/>
    <w:rsid w:val="00330A3D"/>
    <w:rsid w:val="00361914"/>
    <w:rsid w:val="00375077"/>
    <w:rsid w:val="003751B8"/>
    <w:rsid w:val="003D5676"/>
    <w:rsid w:val="003E034B"/>
    <w:rsid w:val="00400259"/>
    <w:rsid w:val="004100EB"/>
    <w:rsid w:val="00431EDE"/>
    <w:rsid w:val="004529D1"/>
    <w:rsid w:val="00484C9E"/>
    <w:rsid w:val="004F07DD"/>
    <w:rsid w:val="004F769C"/>
    <w:rsid w:val="0055157E"/>
    <w:rsid w:val="00557CAC"/>
    <w:rsid w:val="0057175E"/>
    <w:rsid w:val="005B7163"/>
    <w:rsid w:val="005B7260"/>
    <w:rsid w:val="005C56B9"/>
    <w:rsid w:val="005C5A94"/>
    <w:rsid w:val="00613577"/>
    <w:rsid w:val="00617B6B"/>
    <w:rsid w:val="00632FAA"/>
    <w:rsid w:val="0066714D"/>
    <w:rsid w:val="006751F2"/>
    <w:rsid w:val="006818B5"/>
    <w:rsid w:val="00681AB2"/>
    <w:rsid w:val="006A5D07"/>
    <w:rsid w:val="006E40DD"/>
    <w:rsid w:val="006E50DB"/>
    <w:rsid w:val="006F7677"/>
    <w:rsid w:val="00703B97"/>
    <w:rsid w:val="00705E46"/>
    <w:rsid w:val="00725B83"/>
    <w:rsid w:val="0077072A"/>
    <w:rsid w:val="007E1EAA"/>
    <w:rsid w:val="007F70A0"/>
    <w:rsid w:val="00834095"/>
    <w:rsid w:val="00863CF9"/>
    <w:rsid w:val="00872140"/>
    <w:rsid w:val="00884396"/>
    <w:rsid w:val="009608BE"/>
    <w:rsid w:val="00976A2D"/>
    <w:rsid w:val="00A02C97"/>
    <w:rsid w:val="00A05591"/>
    <w:rsid w:val="00A165E7"/>
    <w:rsid w:val="00A814F6"/>
    <w:rsid w:val="00AB19FF"/>
    <w:rsid w:val="00AB240C"/>
    <w:rsid w:val="00AE5D3C"/>
    <w:rsid w:val="00AF39B5"/>
    <w:rsid w:val="00B23139"/>
    <w:rsid w:val="00B55B3A"/>
    <w:rsid w:val="00BA146B"/>
    <w:rsid w:val="00BC064A"/>
    <w:rsid w:val="00BC14D7"/>
    <w:rsid w:val="00BD30C4"/>
    <w:rsid w:val="00BD60C8"/>
    <w:rsid w:val="00BF303A"/>
    <w:rsid w:val="00C10AB2"/>
    <w:rsid w:val="00D122F7"/>
    <w:rsid w:val="00D176E4"/>
    <w:rsid w:val="00D45160"/>
    <w:rsid w:val="00D70C1E"/>
    <w:rsid w:val="00D73139"/>
    <w:rsid w:val="00DA0B68"/>
    <w:rsid w:val="00DA5A7A"/>
    <w:rsid w:val="00DC2B08"/>
    <w:rsid w:val="00E70A24"/>
    <w:rsid w:val="00E94F4A"/>
    <w:rsid w:val="00EA09C3"/>
    <w:rsid w:val="00ED58F9"/>
    <w:rsid w:val="00F43FD8"/>
    <w:rsid w:val="00F913D3"/>
    <w:rsid w:val="00FD070E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484A"/>
  <w15:chartTrackingRefBased/>
  <w15:docId w15:val="{C4EEB6C3-D728-4634-B7CD-3E13F4C7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ED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EDE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31EDE"/>
    <w:rPr>
      <w:b/>
      <w:bCs/>
    </w:rPr>
  </w:style>
  <w:style w:type="paragraph" w:styleId="Bezproreda">
    <w:name w:val="No Spacing"/>
    <w:uiPriority w:val="1"/>
    <w:qFormat/>
    <w:rsid w:val="00431EDE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2" ma:contentTypeDescription="Stvaranje novog dokumenta." ma:contentTypeScope="" ma:versionID="ed107805c64f8b3a7f67a05ac227b02a">
  <xsd:schema xmlns:xsd="http://www.w3.org/2001/XMLSchema" xmlns:xs="http://www.w3.org/2001/XMLSchema" xmlns:p="http://schemas.microsoft.com/office/2006/metadata/properties" xmlns:ns2="485fbf3e-8098-4e7d-94d0-5a9252b4d8d3" targetNamespace="http://schemas.microsoft.com/office/2006/metadata/properties" ma:root="true" ma:fieldsID="82f8425ad3305594de0d2de683506f34" ns2:_="">
    <xsd:import namespace="485fbf3e-8098-4e7d-94d0-5a9252b4d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8F1BF-44EE-406C-847B-E282565F41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5F7F49-F9C4-4E10-9AC2-02196AD8C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fbf3e-8098-4e7d-94d0-5a9252b4d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1001</Words>
  <Characters>5710</Characters>
  <Application>Microsoft Office Word</Application>
  <DocSecurity>4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Ana Maria Vukušić</cp:lastModifiedBy>
  <cp:revision>2</cp:revision>
  <dcterms:created xsi:type="dcterms:W3CDTF">2023-09-25T06:05:00Z</dcterms:created>
  <dcterms:modified xsi:type="dcterms:W3CDTF">2023-09-25T06:05:00Z</dcterms:modified>
</cp:coreProperties>
</file>